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52D" w:rsidRDefault="0040452D" w:rsidP="0040452D">
      <w:pPr>
        <w:jc w:val="center"/>
        <w:rPr>
          <w:rFonts w:ascii="Times New Roman" w:hAnsi="Times New Roman" w:cs="Times New Roman"/>
          <w:b/>
          <w:sz w:val="28"/>
        </w:rPr>
      </w:pPr>
      <w:r w:rsidRPr="0040452D">
        <w:rPr>
          <w:rFonts w:ascii="Times New Roman" w:hAnsi="Times New Roman" w:cs="Times New Roman"/>
          <w:b/>
          <w:sz w:val="28"/>
        </w:rPr>
        <w:t>Основной список претензионных документов</w:t>
      </w:r>
    </w:p>
    <w:p w:rsidR="0040452D" w:rsidRPr="0040452D" w:rsidRDefault="0040452D" w:rsidP="0040452D">
      <w:pPr>
        <w:jc w:val="center"/>
        <w:rPr>
          <w:rFonts w:ascii="Times New Roman" w:hAnsi="Times New Roman" w:cs="Times New Roman"/>
          <w:b/>
          <w:szCs w:val="24"/>
        </w:rPr>
      </w:pPr>
    </w:p>
    <w:p w:rsidR="0040452D" w:rsidRPr="0040452D" w:rsidRDefault="0040452D" w:rsidP="0040452D">
      <w:pPr>
        <w:spacing w:after="0" w:line="240" w:lineRule="auto"/>
        <w:ind w:right="-1"/>
        <w:jc w:val="both"/>
        <w:rPr>
          <w:rFonts w:ascii="Times New Roman" w:hAnsi="Times New Roman" w:cs="Times New Roman"/>
          <w:szCs w:val="24"/>
        </w:rPr>
      </w:pPr>
      <w:r w:rsidRPr="0040452D">
        <w:rPr>
          <w:rFonts w:ascii="Times New Roman" w:hAnsi="Times New Roman" w:cs="Times New Roman"/>
          <w:szCs w:val="24"/>
        </w:rPr>
        <w:t>Для принятия Страховщиком решения о выплате страхового возмещения Страхователь должен предоставить Страховщику по каждому из убытков следующий комплект документов:</w:t>
      </w:r>
    </w:p>
    <w:p w:rsidR="0040452D" w:rsidRDefault="0040452D" w:rsidP="00641C52">
      <w:pPr>
        <w:numPr>
          <w:ilvl w:val="0"/>
          <w:numId w:val="1"/>
        </w:numPr>
        <w:tabs>
          <w:tab w:val="clear" w:pos="1440"/>
          <w:tab w:val="num" w:pos="284"/>
        </w:tabs>
        <w:spacing w:before="120" w:after="0" w:line="240" w:lineRule="auto"/>
        <w:ind w:left="284" w:hanging="284"/>
        <w:jc w:val="both"/>
        <w:rPr>
          <w:rFonts w:ascii="Times New Roman" w:hAnsi="Times New Roman" w:cs="Times New Roman"/>
          <w:szCs w:val="24"/>
        </w:rPr>
      </w:pPr>
      <w:r w:rsidRPr="0040452D">
        <w:rPr>
          <w:rFonts w:ascii="Times New Roman" w:hAnsi="Times New Roman" w:cs="Times New Roman"/>
          <w:szCs w:val="24"/>
        </w:rPr>
        <w:t>Претензия, предъявленная Страхователю или решение суда, обязывающее Страхователя возместить ущерб, причиненный имущественным интересам третьих лиц. Страховщику должны быть переданы документы, подтверждающие право требования заявителя претензии (адресованные ему претензии от грузовладельцев, документы, подтверждающие возмещение</w:t>
      </w:r>
      <w:r>
        <w:rPr>
          <w:rFonts w:ascii="Times New Roman" w:hAnsi="Times New Roman" w:cs="Times New Roman"/>
          <w:szCs w:val="24"/>
        </w:rPr>
        <w:t xml:space="preserve"> убытка грузовладельцу и т.п.)</w:t>
      </w:r>
    </w:p>
    <w:p w:rsidR="0040452D" w:rsidRDefault="0040452D" w:rsidP="00641C52">
      <w:pPr>
        <w:numPr>
          <w:ilvl w:val="0"/>
          <w:numId w:val="1"/>
        </w:numPr>
        <w:tabs>
          <w:tab w:val="clear" w:pos="1440"/>
          <w:tab w:val="num" w:pos="284"/>
        </w:tabs>
        <w:spacing w:before="120" w:after="0" w:line="240" w:lineRule="auto"/>
        <w:ind w:left="284" w:hanging="284"/>
        <w:jc w:val="both"/>
        <w:rPr>
          <w:rFonts w:ascii="Times New Roman" w:hAnsi="Times New Roman" w:cs="Times New Roman"/>
          <w:szCs w:val="24"/>
        </w:rPr>
      </w:pPr>
      <w:r w:rsidRPr="0040452D">
        <w:rPr>
          <w:rFonts w:ascii="Times New Roman" w:hAnsi="Times New Roman" w:cs="Times New Roman"/>
          <w:szCs w:val="24"/>
        </w:rPr>
        <w:t>Документы, подтверждающие принятие груза к перевозке (транспортная накладная/товарно-транспортная накладная). При международной перевозке, в случае пересечения границы Российской Федерации, документы должны содержать отметки таможенных органов.</w:t>
      </w:r>
    </w:p>
    <w:p w:rsidR="0040452D" w:rsidRDefault="0040452D" w:rsidP="00641C52">
      <w:pPr>
        <w:numPr>
          <w:ilvl w:val="0"/>
          <w:numId w:val="1"/>
        </w:numPr>
        <w:tabs>
          <w:tab w:val="clear" w:pos="1440"/>
          <w:tab w:val="num" w:pos="284"/>
        </w:tabs>
        <w:spacing w:before="120" w:after="0" w:line="240" w:lineRule="auto"/>
        <w:ind w:left="284" w:hanging="284"/>
        <w:jc w:val="both"/>
        <w:rPr>
          <w:rFonts w:ascii="Times New Roman" w:hAnsi="Times New Roman" w:cs="Times New Roman"/>
          <w:szCs w:val="24"/>
        </w:rPr>
      </w:pPr>
      <w:r w:rsidRPr="0040452D">
        <w:rPr>
          <w:rFonts w:ascii="Times New Roman" w:hAnsi="Times New Roman" w:cs="Times New Roman"/>
          <w:szCs w:val="24"/>
        </w:rPr>
        <w:t>Документы на груз (счета-фактуры, товарные накладные</w:t>
      </w:r>
      <w:r>
        <w:rPr>
          <w:rFonts w:ascii="Times New Roman" w:hAnsi="Times New Roman" w:cs="Times New Roman"/>
          <w:szCs w:val="24"/>
        </w:rPr>
        <w:t>,</w:t>
      </w:r>
      <w:r w:rsidRPr="0040452D">
        <w:rPr>
          <w:rFonts w:ascii="Times New Roman" w:hAnsi="Times New Roman" w:cs="Times New Roman"/>
          <w:szCs w:val="24"/>
        </w:rPr>
        <w:t xml:space="preserve"> </w:t>
      </w:r>
      <w:r>
        <w:rPr>
          <w:rFonts w:ascii="Times New Roman" w:hAnsi="Times New Roman" w:cs="Times New Roman"/>
          <w:szCs w:val="24"/>
        </w:rPr>
        <w:t>инвойсы)</w:t>
      </w:r>
    </w:p>
    <w:p w:rsidR="0040452D" w:rsidRDefault="0040452D" w:rsidP="00641C52">
      <w:pPr>
        <w:numPr>
          <w:ilvl w:val="0"/>
          <w:numId w:val="1"/>
        </w:numPr>
        <w:tabs>
          <w:tab w:val="clear" w:pos="1440"/>
          <w:tab w:val="num" w:pos="284"/>
        </w:tabs>
        <w:spacing w:before="120" w:after="0" w:line="240" w:lineRule="auto"/>
        <w:ind w:left="284" w:hanging="284"/>
        <w:jc w:val="both"/>
        <w:rPr>
          <w:rFonts w:ascii="Times New Roman" w:hAnsi="Times New Roman" w:cs="Times New Roman"/>
          <w:szCs w:val="24"/>
        </w:rPr>
      </w:pPr>
      <w:r w:rsidRPr="0040452D">
        <w:rPr>
          <w:rFonts w:ascii="Times New Roman" w:hAnsi="Times New Roman" w:cs="Times New Roman"/>
          <w:szCs w:val="24"/>
        </w:rPr>
        <w:t xml:space="preserve">Объяснения </w:t>
      </w:r>
      <w:r>
        <w:rPr>
          <w:rFonts w:ascii="Times New Roman" w:hAnsi="Times New Roman" w:cs="Times New Roman"/>
          <w:szCs w:val="24"/>
        </w:rPr>
        <w:t>представителя Страхователя (водителя) об обстоятельствах происшествия</w:t>
      </w:r>
    </w:p>
    <w:p w:rsidR="0040452D" w:rsidRDefault="0040452D" w:rsidP="00641C52">
      <w:pPr>
        <w:numPr>
          <w:ilvl w:val="0"/>
          <w:numId w:val="1"/>
        </w:numPr>
        <w:tabs>
          <w:tab w:val="clear" w:pos="1440"/>
          <w:tab w:val="num" w:pos="284"/>
        </w:tabs>
        <w:spacing w:before="120" w:after="0" w:line="240" w:lineRule="auto"/>
        <w:ind w:left="284" w:hanging="284"/>
        <w:jc w:val="both"/>
        <w:rPr>
          <w:rFonts w:ascii="Times New Roman" w:hAnsi="Times New Roman" w:cs="Times New Roman"/>
          <w:szCs w:val="24"/>
        </w:rPr>
      </w:pPr>
      <w:r w:rsidRPr="0040452D">
        <w:rPr>
          <w:rFonts w:ascii="Times New Roman" w:hAnsi="Times New Roman" w:cs="Times New Roman"/>
          <w:szCs w:val="24"/>
        </w:rPr>
        <w:t xml:space="preserve">Акт, подтверждающий сдачу/получение груза в поврежденном </w:t>
      </w:r>
      <w:r w:rsidRPr="0040452D">
        <w:rPr>
          <w:rFonts w:ascii="Times New Roman" w:hAnsi="Times New Roman" w:cs="Times New Roman"/>
          <w:szCs w:val="24"/>
        </w:rPr>
        <w:t>состоянии</w:t>
      </w:r>
      <w:r w:rsidRPr="0040452D">
        <w:rPr>
          <w:rFonts w:ascii="Times New Roman" w:hAnsi="Times New Roman" w:cs="Times New Roman"/>
          <w:szCs w:val="24"/>
        </w:rPr>
        <w:t xml:space="preserve"> или </w:t>
      </w:r>
      <w:r w:rsidRPr="0040452D">
        <w:rPr>
          <w:rFonts w:ascii="Times New Roman" w:hAnsi="Times New Roman" w:cs="Times New Roman"/>
          <w:szCs w:val="24"/>
        </w:rPr>
        <w:t>недостаточном количестве</w:t>
      </w:r>
    </w:p>
    <w:p w:rsidR="0040452D" w:rsidRDefault="0040452D" w:rsidP="00641C52">
      <w:pPr>
        <w:numPr>
          <w:ilvl w:val="0"/>
          <w:numId w:val="1"/>
        </w:numPr>
        <w:tabs>
          <w:tab w:val="clear" w:pos="1440"/>
          <w:tab w:val="num" w:pos="284"/>
        </w:tabs>
        <w:spacing w:before="120" w:after="0" w:line="240" w:lineRule="auto"/>
        <w:ind w:left="284" w:hanging="284"/>
        <w:jc w:val="both"/>
        <w:rPr>
          <w:rFonts w:ascii="Times New Roman" w:hAnsi="Times New Roman" w:cs="Times New Roman"/>
          <w:szCs w:val="24"/>
        </w:rPr>
      </w:pPr>
      <w:r w:rsidRPr="0040452D">
        <w:rPr>
          <w:rFonts w:ascii="Times New Roman" w:hAnsi="Times New Roman" w:cs="Times New Roman"/>
          <w:color w:val="000000"/>
          <w:szCs w:val="24"/>
        </w:rPr>
        <w:t>Распечатка показаний устройств контроля и записи температурного режима (в случае порчи груза</w:t>
      </w:r>
      <w:r>
        <w:rPr>
          <w:rFonts w:ascii="Times New Roman" w:hAnsi="Times New Roman" w:cs="Times New Roman"/>
          <w:color w:val="000000"/>
          <w:szCs w:val="24"/>
        </w:rPr>
        <w:t xml:space="preserve"> или несоблюдения температурного режима</w:t>
      </w:r>
      <w:r w:rsidRPr="0040452D">
        <w:rPr>
          <w:rFonts w:ascii="Times New Roman" w:hAnsi="Times New Roman" w:cs="Times New Roman"/>
          <w:color w:val="000000"/>
          <w:szCs w:val="24"/>
        </w:rPr>
        <w:t>)</w:t>
      </w:r>
    </w:p>
    <w:p w:rsidR="0040452D" w:rsidRDefault="0040452D" w:rsidP="00641C52">
      <w:pPr>
        <w:numPr>
          <w:ilvl w:val="0"/>
          <w:numId w:val="1"/>
        </w:numPr>
        <w:tabs>
          <w:tab w:val="clear" w:pos="1440"/>
          <w:tab w:val="num" w:pos="284"/>
        </w:tabs>
        <w:spacing w:before="120" w:after="0" w:line="240" w:lineRule="auto"/>
        <w:ind w:left="284" w:hanging="284"/>
        <w:jc w:val="both"/>
        <w:rPr>
          <w:rFonts w:ascii="Times New Roman" w:hAnsi="Times New Roman" w:cs="Times New Roman"/>
          <w:szCs w:val="24"/>
        </w:rPr>
      </w:pPr>
      <w:r>
        <w:rPr>
          <w:rFonts w:ascii="Times New Roman" w:hAnsi="Times New Roman" w:cs="Times New Roman"/>
          <w:szCs w:val="24"/>
        </w:rPr>
        <w:t>Документы, подтверждающие заявленную сумму ущерба (например, отчет независимого эксперта, калькуляция на восстановительный ремонт и т.п.)</w:t>
      </w:r>
    </w:p>
    <w:p w:rsidR="0040452D" w:rsidRPr="0040452D" w:rsidRDefault="0040452D" w:rsidP="00641C52">
      <w:pPr>
        <w:numPr>
          <w:ilvl w:val="0"/>
          <w:numId w:val="1"/>
        </w:numPr>
        <w:tabs>
          <w:tab w:val="clear" w:pos="1440"/>
          <w:tab w:val="num" w:pos="284"/>
        </w:tabs>
        <w:spacing w:before="120" w:after="0" w:line="240" w:lineRule="auto"/>
        <w:ind w:left="284" w:hanging="284"/>
        <w:jc w:val="both"/>
        <w:rPr>
          <w:rFonts w:ascii="Times New Roman" w:hAnsi="Times New Roman" w:cs="Times New Roman"/>
          <w:szCs w:val="24"/>
        </w:rPr>
      </w:pPr>
      <w:r w:rsidRPr="0040452D">
        <w:rPr>
          <w:rFonts w:ascii="Times New Roman" w:hAnsi="Times New Roman" w:cs="Times New Roman"/>
          <w:szCs w:val="24"/>
        </w:rPr>
        <w:t>Документы, оформленные компетентными органами, подтверждающие факт происшествия и виновных лиц, в частности:</w:t>
      </w:r>
    </w:p>
    <w:p w:rsidR="0040452D" w:rsidRPr="0040452D" w:rsidRDefault="0040452D" w:rsidP="0040452D">
      <w:pPr>
        <w:numPr>
          <w:ilvl w:val="2"/>
          <w:numId w:val="1"/>
        </w:numPr>
        <w:tabs>
          <w:tab w:val="clear" w:pos="2340"/>
          <w:tab w:val="num" w:pos="639"/>
        </w:tabs>
        <w:spacing w:after="0" w:line="240" w:lineRule="auto"/>
        <w:ind w:left="639" w:hanging="283"/>
        <w:jc w:val="both"/>
        <w:rPr>
          <w:rFonts w:ascii="Times New Roman" w:hAnsi="Times New Roman" w:cs="Times New Roman"/>
          <w:szCs w:val="24"/>
        </w:rPr>
      </w:pPr>
      <w:r w:rsidRPr="0040452D">
        <w:rPr>
          <w:rFonts w:ascii="Times New Roman" w:hAnsi="Times New Roman" w:cs="Times New Roman"/>
          <w:szCs w:val="24"/>
        </w:rPr>
        <w:t>схема дорожно-транспортного происшествия (если есть), сведения об участниках ДТП, постановление или определение по административному делу (при дорожно-транспортном происшествии);</w:t>
      </w:r>
    </w:p>
    <w:p w:rsidR="0040452D" w:rsidRPr="0040452D" w:rsidRDefault="0040452D" w:rsidP="0040452D">
      <w:pPr>
        <w:numPr>
          <w:ilvl w:val="2"/>
          <w:numId w:val="1"/>
        </w:numPr>
        <w:tabs>
          <w:tab w:val="clear" w:pos="2340"/>
          <w:tab w:val="num" w:pos="639"/>
        </w:tabs>
        <w:spacing w:after="0" w:line="240" w:lineRule="auto"/>
        <w:ind w:left="639" w:hanging="283"/>
        <w:jc w:val="both"/>
        <w:rPr>
          <w:rFonts w:ascii="Times New Roman" w:hAnsi="Times New Roman" w:cs="Times New Roman"/>
          <w:szCs w:val="24"/>
        </w:rPr>
      </w:pPr>
      <w:r w:rsidRPr="0040452D">
        <w:rPr>
          <w:rFonts w:ascii="Times New Roman" w:hAnsi="Times New Roman" w:cs="Times New Roman"/>
          <w:szCs w:val="24"/>
        </w:rPr>
        <w:t>акт о пожаре, заключение о п</w:t>
      </w:r>
      <w:bookmarkStart w:id="0" w:name="_GoBack"/>
      <w:bookmarkEnd w:id="0"/>
      <w:r w:rsidRPr="0040452D">
        <w:rPr>
          <w:rFonts w:ascii="Times New Roman" w:hAnsi="Times New Roman" w:cs="Times New Roman"/>
          <w:szCs w:val="24"/>
        </w:rPr>
        <w:t>ричине пожара (справка эксперта), решение по факту возбуждения уголовного дела (при пожаре);</w:t>
      </w:r>
    </w:p>
    <w:p w:rsidR="0040452D" w:rsidRDefault="0040452D" w:rsidP="0040452D">
      <w:pPr>
        <w:numPr>
          <w:ilvl w:val="2"/>
          <w:numId w:val="1"/>
        </w:numPr>
        <w:tabs>
          <w:tab w:val="clear" w:pos="2340"/>
          <w:tab w:val="num" w:pos="639"/>
        </w:tabs>
        <w:spacing w:after="0" w:line="240" w:lineRule="auto"/>
        <w:ind w:left="639" w:hanging="283"/>
        <w:jc w:val="both"/>
        <w:rPr>
          <w:rFonts w:ascii="Times New Roman" w:hAnsi="Times New Roman" w:cs="Times New Roman"/>
          <w:szCs w:val="24"/>
        </w:rPr>
      </w:pPr>
      <w:r w:rsidRPr="0040452D">
        <w:rPr>
          <w:rFonts w:ascii="Times New Roman" w:hAnsi="Times New Roman" w:cs="Times New Roman"/>
          <w:szCs w:val="24"/>
        </w:rPr>
        <w:t>подтверждение сообщения в правоохранительные органы, постановление о возбуждении (отказе в возбуждении) уголовного дела, результаты расследования (при хищении груза).</w:t>
      </w:r>
    </w:p>
    <w:p w:rsidR="0040452D" w:rsidRPr="00641C52" w:rsidRDefault="00641C52" w:rsidP="00641C52">
      <w:pPr>
        <w:pStyle w:val="a3"/>
        <w:numPr>
          <w:ilvl w:val="0"/>
          <w:numId w:val="5"/>
        </w:numPr>
        <w:tabs>
          <w:tab w:val="clear" w:pos="2340"/>
          <w:tab w:val="num" w:pos="284"/>
        </w:tabs>
        <w:spacing w:before="120" w:after="0" w:line="240" w:lineRule="auto"/>
        <w:ind w:left="284" w:hanging="284"/>
        <w:jc w:val="both"/>
        <w:rPr>
          <w:rFonts w:ascii="Times New Roman" w:hAnsi="Times New Roman" w:cs="Times New Roman"/>
          <w:szCs w:val="24"/>
        </w:rPr>
      </w:pPr>
      <w:r w:rsidRPr="00641C52">
        <w:rPr>
          <w:rFonts w:ascii="Times New Roman" w:hAnsi="Times New Roman" w:cs="Times New Roman"/>
          <w:szCs w:val="24"/>
        </w:rPr>
        <w:t>Иные документы предусмотренные Страховым пол</w:t>
      </w:r>
      <w:r>
        <w:rPr>
          <w:rFonts w:ascii="Times New Roman" w:hAnsi="Times New Roman" w:cs="Times New Roman"/>
          <w:szCs w:val="24"/>
        </w:rPr>
        <w:t>и</w:t>
      </w:r>
      <w:r w:rsidRPr="00641C52">
        <w:rPr>
          <w:rFonts w:ascii="Times New Roman" w:hAnsi="Times New Roman" w:cs="Times New Roman"/>
          <w:szCs w:val="24"/>
        </w:rPr>
        <w:t>сом</w:t>
      </w:r>
    </w:p>
    <w:p w:rsidR="0040452D" w:rsidRPr="00641C52" w:rsidRDefault="0040452D" w:rsidP="00641C52">
      <w:pPr>
        <w:pStyle w:val="a3"/>
        <w:numPr>
          <w:ilvl w:val="0"/>
          <w:numId w:val="5"/>
        </w:numPr>
        <w:tabs>
          <w:tab w:val="clear" w:pos="2340"/>
          <w:tab w:val="num" w:pos="284"/>
        </w:tabs>
        <w:spacing w:before="120" w:after="0" w:line="240" w:lineRule="auto"/>
        <w:ind w:left="284" w:hanging="284"/>
        <w:contextualSpacing w:val="0"/>
        <w:jc w:val="both"/>
        <w:rPr>
          <w:rFonts w:ascii="Times New Roman" w:hAnsi="Times New Roman" w:cs="Times New Roman"/>
          <w:szCs w:val="24"/>
        </w:rPr>
      </w:pPr>
      <w:r w:rsidRPr="00641C52">
        <w:rPr>
          <w:rFonts w:ascii="Times New Roman" w:hAnsi="Times New Roman" w:cs="Times New Roman"/>
          <w:szCs w:val="24"/>
        </w:rPr>
        <w:t>Требование о выплате страхового возмещения (по форме СПАО «Ингосстрах»)</w:t>
      </w:r>
    </w:p>
    <w:sectPr w:rsidR="0040452D" w:rsidRPr="00641C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7536"/>
    <w:multiLevelType w:val="hybridMultilevel"/>
    <w:tmpl w:val="D90090C2"/>
    <w:lvl w:ilvl="0" w:tplc="AEDE212C">
      <w:start w:val="1"/>
      <w:numFmt w:val="decimal"/>
      <w:lvlText w:val="%1."/>
      <w:lvlJc w:val="left"/>
      <w:pPr>
        <w:tabs>
          <w:tab w:val="num" w:pos="1440"/>
        </w:tabs>
        <w:ind w:left="1440" w:hanging="360"/>
      </w:pPr>
      <w:rPr>
        <w:rFonts w:ascii="Times New Roman" w:hAnsi="Times New Roman" w:hint="default"/>
        <w:b/>
        <w:i w:val="0"/>
        <w:color w:val="auto"/>
        <w:sz w:val="16"/>
        <w:szCs w:val="16"/>
      </w:rPr>
    </w:lvl>
    <w:lvl w:ilvl="1" w:tplc="0419000F">
      <w:start w:val="1"/>
      <w:numFmt w:val="decimal"/>
      <w:lvlText w:val="%2."/>
      <w:lvlJc w:val="left"/>
      <w:pPr>
        <w:tabs>
          <w:tab w:val="num" w:pos="1440"/>
        </w:tabs>
        <w:ind w:left="360" w:firstLine="720"/>
      </w:pPr>
      <w:rPr>
        <w:rFonts w:hint="default"/>
        <w:b/>
        <w:i w:val="0"/>
        <w:color w:val="auto"/>
        <w:sz w:val="16"/>
        <w:szCs w:val="16"/>
      </w:rPr>
    </w:lvl>
    <w:lvl w:ilvl="2" w:tplc="B6766230">
      <w:start w:val="1"/>
      <w:numFmt w:val="decimal"/>
      <w:lvlText w:val="%3."/>
      <w:lvlJc w:val="left"/>
      <w:pPr>
        <w:tabs>
          <w:tab w:val="num" w:pos="2340"/>
        </w:tabs>
        <w:ind w:left="2340" w:hanging="360"/>
      </w:pPr>
      <w:rPr>
        <w:rFonts w:ascii="Times New Roman" w:hAnsi="Times New Roman" w:cs="Times New Roman" w:hint="default"/>
        <w:b/>
        <w:i w:val="0"/>
        <w:color w:val="auto"/>
        <w:sz w:val="16"/>
        <w:szCs w:val="16"/>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67294B"/>
    <w:multiLevelType w:val="hybridMultilevel"/>
    <w:tmpl w:val="6786F9A6"/>
    <w:lvl w:ilvl="0" w:tplc="AEDE212C">
      <w:start w:val="1"/>
      <w:numFmt w:val="decimal"/>
      <w:lvlText w:val="%1."/>
      <w:lvlJc w:val="left"/>
      <w:pPr>
        <w:tabs>
          <w:tab w:val="num" w:pos="1440"/>
        </w:tabs>
        <w:ind w:left="1440" w:hanging="360"/>
      </w:pPr>
      <w:rPr>
        <w:rFonts w:ascii="Times New Roman" w:hAnsi="Times New Roman" w:hint="default"/>
        <w:b/>
        <w:i w:val="0"/>
        <w:color w:val="auto"/>
        <w:sz w:val="16"/>
        <w:szCs w:val="16"/>
      </w:rPr>
    </w:lvl>
    <w:lvl w:ilvl="1" w:tplc="0419000F">
      <w:start w:val="1"/>
      <w:numFmt w:val="decimal"/>
      <w:lvlText w:val="%2."/>
      <w:lvlJc w:val="left"/>
      <w:pPr>
        <w:tabs>
          <w:tab w:val="num" w:pos="1440"/>
        </w:tabs>
        <w:ind w:left="360" w:firstLine="720"/>
      </w:pPr>
      <w:rPr>
        <w:rFonts w:hint="default"/>
        <w:b/>
        <w:i w:val="0"/>
        <w:color w:val="auto"/>
        <w:sz w:val="16"/>
        <w:szCs w:val="16"/>
      </w:rPr>
    </w:lvl>
    <w:lvl w:ilvl="2" w:tplc="50BEF806">
      <w:start w:val="1"/>
      <w:numFmt w:val="lowerLetter"/>
      <w:lvlText w:val="%3."/>
      <w:lvlJc w:val="left"/>
      <w:pPr>
        <w:tabs>
          <w:tab w:val="num" w:pos="2340"/>
        </w:tabs>
        <w:ind w:left="2340" w:hanging="360"/>
      </w:pPr>
      <w:rPr>
        <w:rFonts w:ascii="Times New Roman" w:hAnsi="Times New Roman" w:hint="default"/>
        <w:b/>
        <w:i w:val="0"/>
        <w:color w:val="auto"/>
        <w:sz w:val="16"/>
        <w:szCs w:val="16"/>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603ECA"/>
    <w:multiLevelType w:val="hybridMultilevel"/>
    <w:tmpl w:val="F8FCA792"/>
    <w:lvl w:ilvl="0" w:tplc="E76A8CCE">
      <w:start w:val="9"/>
      <w:numFmt w:val="decimal"/>
      <w:lvlText w:val="%1."/>
      <w:lvlJc w:val="left"/>
      <w:pPr>
        <w:tabs>
          <w:tab w:val="num" w:pos="2340"/>
        </w:tabs>
        <w:ind w:left="2340" w:hanging="360"/>
      </w:pPr>
      <w:rPr>
        <w:rFonts w:ascii="Times New Roman" w:hAnsi="Times New Roman" w:cs="Times New Roman" w:hint="default"/>
        <w:b/>
        <w:i w:val="0"/>
        <w:color w:val="auto"/>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EE5C2E"/>
    <w:multiLevelType w:val="hybridMultilevel"/>
    <w:tmpl w:val="20B4E48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66C96707"/>
    <w:multiLevelType w:val="hybridMultilevel"/>
    <w:tmpl w:val="652A5FDA"/>
    <w:lvl w:ilvl="0" w:tplc="7E6EB128">
      <w:start w:val="1"/>
      <w:numFmt w:val="bullet"/>
      <w:lvlText w:val="–"/>
      <w:lvlJc w:val="left"/>
      <w:pPr>
        <w:tabs>
          <w:tab w:val="num" w:pos="1647"/>
        </w:tabs>
        <w:ind w:left="567" w:firstLine="720"/>
      </w:pPr>
      <w:rPr>
        <w:rFonts w:ascii="Times New Roman" w:hAnsi="Times New Roman" w:cs="Times New Roman" w:hint="default"/>
        <w:b/>
        <w:i w:val="0"/>
        <w:color w:val="auto"/>
        <w:sz w:val="16"/>
        <w:szCs w:val="16"/>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52D"/>
    <w:rsid w:val="0040452D"/>
    <w:rsid w:val="00641C52"/>
    <w:rsid w:val="00CD6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45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4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301</Words>
  <Characters>1717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Мартынова Мария Сергеевна (ДКБ)</dc:creator>
  <cp:lastModifiedBy>Мартынова Мария Сергеевна (ДКБ)</cp:lastModifiedBy>
  <cp:revision>1</cp:revision>
  <dcterms:created xsi:type="dcterms:W3CDTF">2016-09-13T15:06:00Z</dcterms:created>
  <dcterms:modified xsi:type="dcterms:W3CDTF">2016-09-13T15:18:00Z</dcterms:modified>
</cp:coreProperties>
</file>