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F" w:rsidRDefault="00823D8F" w:rsidP="00823D8F">
      <w:pPr>
        <w:suppressAutoHyphens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Форма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.2</w:t>
      </w:r>
    </w:p>
    <w:p w:rsidR="00823D8F" w:rsidRDefault="00823D8F" w:rsidP="00823D8F">
      <w:pPr>
        <w:suppressAutoHyphens/>
        <w:jc w:val="center"/>
        <w:rPr>
          <w:b/>
          <w:color w:val="000000"/>
        </w:rPr>
      </w:pPr>
    </w:p>
    <w:p w:rsidR="00823D8F" w:rsidRDefault="00823D8F" w:rsidP="00823D8F">
      <w:pPr>
        <w:pStyle w:val="a3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Cs w:val="24"/>
        </w:rPr>
        <w:t>Дополнительные сведения о ГТС, необходимые для определения уровня безопасности опасного объекта</w:t>
      </w:r>
    </w:p>
    <w:p w:rsidR="00823D8F" w:rsidRDefault="00823D8F" w:rsidP="00823D8F">
      <w:pPr>
        <w:pStyle w:val="a3"/>
        <w:spacing w:after="120"/>
        <w:ind w:left="540"/>
        <w:rPr>
          <w:b/>
          <w:color w:val="000000"/>
        </w:rPr>
      </w:pPr>
      <w:r>
        <w:rPr>
          <w:b/>
          <w:color w:val="000000"/>
        </w:rPr>
        <w:t>1. СВЕДЕНИЯ О ТЕХНИЧЕСКОЙ БЕЗОПАСНОСТИ ОПАСНОГО ОБЪЕКТА</w:t>
      </w:r>
    </w:p>
    <w:p w:rsidR="00823D8F" w:rsidRDefault="00823D8F" w:rsidP="00823D8F">
      <w:pPr>
        <w:pStyle w:val="a3"/>
        <w:spacing w:after="120"/>
        <w:ind w:left="900"/>
        <w:rPr>
          <w:b/>
          <w:color w:val="000000"/>
        </w:rPr>
      </w:pPr>
      <w:r>
        <w:rPr>
          <w:b/>
          <w:color w:val="000000"/>
        </w:rPr>
        <w:t xml:space="preserve">А. Возраст ГТС </w:t>
      </w:r>
      <w:r>
        <w:rPr>
          <w:color w:val="000000"/>
          <w:sz w:val="20"/>
        </w:rPr>
        <w:t>[п.п. 12.1 – 12.5 таблица 1 сведения в РРГТС</w:t>
      </w:r>
      <w:r>
        <w:rPr>
          <w:sz w:val="18"/>
          <w:szCs w:val="1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2"/>
        <w:gridCol w:w="5589"/>
      </w:tblGrid>
      <w:tr w:rsidR="00823D8F" w:rsidTr="00B422D8">
        <w:tc>
          <w:tcPr>
            <w:tcW w:w="4077" w:type="dxa"/>
            <w:hideMark/>
          </w:tcPr>
          <w:p w:rsidR="00823D8F" w:rsidRDefault="00823D8F" w:rsidP="00B422D8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Год ввода ГТС в эксплуатацию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4077" w:type="dxa"/>
          </w:tcPr>
          <w:p w:rsidR="00823D8F" w:rsidRDefault="00823D8F" w:rsidP="00B422D8">
            <w:pPr>
              <w:suppressAutoHyphens/>
              <w:spacing w:line="276" w:lineRule="auto"/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указать год</w:t>
            </w:r>
            <w:r>
              <w:rPr>
                <w:color w:val="000000"/>
              </w:rPr>
              <w:t>]</w:t>
            </w:r>
          </w:p>
        </w:tc>
      </w:tr>
    </w:tbl>
    <w:p w:rsidR="00823D8F" w:rsidRDefault="00823D8F" w:rsidP="00823D8F">
      <w:pPr>
        <w:suppressAutoHyphens/>
        <w:spacing w:after="120"/>
        <w:rPr>
          <w:b/>
        </w:rPr>
      </w:pPr>
    </w:p>
    <w:p w:rsidR="00823D8F" w:rsidRDefault="00823D8F" w:rsidP="00823D8F">
      <w:pPr>
        <w:suppressAutoHyphens/>
        <w:spacing w:after="120"/>
        <w:rPr>
          <w:b/>
        </w:rPr>
      </w:pPr>
      <w:r>
        <w:rPr>
          <w:b/>
        </w:rPr>
        <w:t>Б.  Обеспечение безопасности технологического процесса</w:t>
      </w:r>
    </w:p>
    <w:p w:rsidR="00823D8F" w:rsidRDefault="00823D8F" w:rsidP="00823D8F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1.2 Осуществление контроля за состоянием ГТС – опасного объекта  </w:t>
      </w:r>
      <w:r>
        <w:rPr>
          <w:color w:val="000000"/>
          <w:sz w:val="24"/>
          <w:szCs w:val="24"/>
        </w:rPr>
        <w:t>[</w:t>
      </w:r>
      <w:r>
        <w:rPr>
          <w:sz w:val="24"/>
          <w:szCs w:val="24"/>
        </w:rPr>
        <w:t>п. 18 таблица 2.1 РРГТС, п. 9 таблица 2.2 РРГТС по плотинам и дамбам, по остальным ГТС сведения не подаются]</w:t>
      </w:r>
    </w:p>
    <w:p w:rsidR="00823D8F" w:rsidRDefault="00823D8F" w:rsidP="00823D8F">
      <w:pPr>
        <w:suppressAutoHyphens/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83"/>
      </w:tblGrid>
      <w:tr w:rsidR="00823D8F" w:rsidTr="00B422D8">
        <w:trPr>
          <w:tblHeader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Укомплектованность ГТС контрольной измерительной аппаратурой (КИА)</w:t>
            </w: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1.2.1. Имеется в полном объеме согласно проекта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1.2.2. Имеется достаточное количество КИА необходимого для оценки работоспособного состояния сооружения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1.2.3. Имееющегося КИА не достаточно для достоверной оценки работоспособного состояния сооружения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1.2.4. КИА отсутствует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</w:tbl>
    <w:p w:rsidR="00823D8F" w:rsidRDefault="00823D8F" w:rsidP="00823D8F">
      <w:pPr>
        <w:suppressAutoHyphens/>
      </w:pPr>
    </w:p>
    <w:p w:rsidR="00823D8F" w:rsidRDefault="00823D8F" w:rsidP="00823D8F">
      <w:pPr>
        <w:suppressAutoHyphens/>
        <w:rPr>
          <w:sz w:val="24"/>
          <w:szCs w:val="24"/>
        </w:rPr>
      </w:pPr>
      <w:r>
        <w:rPr>
          <w:sz w:val="24"/>
          <w:szCs w:val="24"/>
        </w:rPr>
        <w:t>1.3 Оценка состояния сооружения и его основания  [п. Акта преддекларационного обследования]</w:t>
      </w:r>
    </w:p>
    <w:p w:rsidR="00823D8F" w:rsidRDefault="00823D8F" w:rsidP="00823D8F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2485"/>
      </w:tblGrid>
      <w:tr w:rsidR="00823D8F" w:rsidTr="00B422D8">
        <w:trPr>
          <w:tblHeader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Наличие системы мониторинга состояния ГТС</w:t>
            </w: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1.3.1. Имеется система мониторинга состояния ГТС, зафиксировано </w:t>
            </w:r>
            <w:r>
              <w:t>развитие процессов снижения прочности и устойчивости элементов ГТС и их оснований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rPr>
          <w:tblHeader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1.3.2. Имеется система мониторинга состояния ГТС, не зафиксировано </w:t>
            </w:r>
            <w:r>
              <w:t>развитие процессов снижения прочности и устойчивости элементов ГТС и их оснований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1.3.3. Система мониторинга состояния ГТС отсутствует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</w:tbl>
    <w:p w:rsidR="00823D8F" w:rsidRDefault="00823D8F" w:rsidP="00823D8F">
      <w:pPr>
        <w:suppressAutoHyphens/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1.4. </w:t>
      </w:r>
      <w:r>
        <w:rPr>
          <w:szCs w:val="24"/>
        </w:rPr>
        <w:t xml:space="preserve">Выполнение предписаний Ростехнадзора и </w:t>
      </w:r>
      <w:r>
        <w:rPr>
          <w:bCs/>
          <w:szCs w:val="24"/>
        </w:rPr>
        <w:t>Федеральной службы по надзору в сфере транспорта</w:t>
      </w:r>
      <w:r>
        <w:rPr>
          <w:szCs w:val="24"/>
        </w:rPr>
        <w:t xml:space="preserve"> в области</w:t>
      </w:r>
      <w:r>
        <w:rPr>
          <w:color w:val="000000"/>
          <w:szCs w:val="24"/>
        </w:rPr>
        <w:t xml:space="preserve"> безопасности ГТС за последний год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число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484"/>
      </w:tblGrid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>1.4.1. Количество предписаний Ростехнадзора в области безопасности ГТС (общее)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>1.4.2. Количество невыполненных предписаний органа государственной исполнительной власти, осуществляющего надзор за безопасностью ГТС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t>1.5. Наличие разрешения на эксплуатацию ГТС, необходимого для ведения производственной деятельности (заполняется собственником ГТС)</w:t>
      </w:r>
    </w:p>
    <w:p w:rsidR="00823D8F" w:rsidRDefault="00823D8F" w:rsidP="00823D8F">
      <w:pPr>
        <w:pStyle w:val="a3"/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[есть / в стадии оформления / не требуется]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5"/>
        <w:gridCol w:w="2456"/>
      </w:tblGrid>
      <w:tr w:rsidR="00823D8F" w:rsidTr="00B42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Наличие разрешения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lastRenderedPageBreak/>
              <w:t>1.5.1.Разрешение на эксплуатацию ГТС имеется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t>1.5.2.  Разрешение на эксплуатацию ГТС отсутствует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</w:pPr>
    </w:p>
    <w:p w:rsidR="00823D8F" w:rsidRDefault="00823D8F" w:rsidP="00823D8F">
      <w:pPr>
        <w:suppressAutoHyphens/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>1.6. Наличие утвержденных критериев безопасности ГТС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проводились / не проводились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1790"/>
      </w:tblGrid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 xml:space="preserve">1.6.1. Критерии безопасности разработаны и утверждены, </w:t>
            </w:r>
            <w:r>
              <w:t>значения критериев безопасности не превышают предельно допустимых для работоспособного состояния сооружений и оснований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 xml:space="preserve">1.6.2. Критерии безопасности разработаны и утверждены, установлены </w:t>
            </w:r>
            <w:r>
              <w:t>превышения предельно допустимых значений критериев безопасности для работоспособного состояния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 xml:space="preserve">1.6.3. Критерии безопасности разработаны и утверждены, установлены </w:t>
            </w:r>
            <w:r>
              <w:t xml:space="preserve">превышения предельно допустимых значений критериев безопасности, характеризующих переход от частично неработоспособного к неработоспособному состоянию сооружений и оснований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 xml:space="preserve">1.6.4. </w:t>
            </w:r>
            <w:r>
              <w:t>Критерии безопасности отсутствуют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rPr>
          <w:color w:val="000000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>1.7. Сведения о профессиональной подготовке персонала [</w:t>
      </w:r>
      <w:r>
        <w:rPr>
          <w:szCs w:val="24"/>
        </w:rPr>
        <w:t>п. Акта преддекларационного обследования]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1793"/>
      </w:tblGrid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1.7.1. План профессиональной подготовки персонала (рабочих, ИТР и специалистов)</w:t>
            </w:r>
          </w:p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есть / нет</w:t>
            </w:r>
            <w:r>
              <w:rPr>
                <w:color w:val="000000"/>
              </w:rPr>
              <w:t>]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1.7.2. Персонал аттестован на право ведения работ на ГТС</w:t>
            </w:r>
          </w:p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есть / нет</w:t>
            </w:r>
            <w:r>
              <w:rPr>
                <w:color w:val="000000"/>
              </w:rPr>
              <w:t>]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1.7.3. Определен порядок допуска персонала к самостоятельной работе по эксплуатации ГТС</w:t>
            </w:r>
          </w:p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есть / нет</w:t>
            </w:r>
            <w:r>
              <w:rPr>
                <w:color w:val="000000"/>
              </w:rPr>
              <w:t>]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pStyle w:val="a3"/>
        <w:spacing w:after="120"/>
        <w:rPr>
          <w:b/>
          <w:color w:val="000000"/>
        </w:rPr>
      </w:pPr>
    </w:p>
    <w:p w:rsidR="00823D8F" w:rsidRDefault="00823D8F" w:rsidP="00823D8F">
      <w:pPr>
        <w:pStyle w:val="a3"/>
        <w:spacing w:after="120"/>
        <w:ind w:left="540"/>
        <w:rPr>
          <w:b/>
          <w:color w:val="000000"/>
        </w:rPr>
      </w:pPr>
      <w:r>
        <w:rPr>
          <w:b/>
          <w:color w:val="000000"/>
        </w:rPr>
        <w:t>2. СВЕДЕНИЯ О ПОЖАРНОЙ БЕЗОПАСНОСТИ ГТС - ОПАСНОГО ОБЪЕКТА (при наличии пожароопасных объектов, по данным декларации пожарной безопасности, обычно для ГТС такой опасности нет)</w:t>
      </w: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t xml:space="preserve">2.1. Наличие пожароопасных объектов на ГТС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1793"/>
      </w:tblGrid>
      <w:tr w:rsidR="00823D8F" w:rsidTr="00B422D8">
        <w:trPr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2.1.1. Имеются пожароопасные объекты на ГТС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2.1.2. Отсутствуют пожароопасные объекты на ГТС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</w:tbl>
    <w:p w:rsidR="00823D8F" w:rsidRDefault="00823D8F" w:rsidP="00823D8F">
      <w:pPr>
        <w:suppressAutoHyphens/>
        <w:spacing w:after="120"/>
      </w:pP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t>2.2. Технические решения по обеспечению пожарной безопасности (заполняется при отметке п. 2.1.1)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719"/>
      </w:tblGrid>
      <w:tr w:rsidR="00823D8F" w:rsidTr="00B422D8">
        <w:trPr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2.2.1. Оборудование пожароопасных объектов ГТС системами автоматической пожарной сигнализации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2.2.2. Оборудование пожароопасных объектов ГТС ручными установками пожаротушения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2.2.3. Оборудование пожароопасных объектов ГТС автоматическими установками пожаротушения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</w:tbl>
    <w:p w:rsidR="00823D8F" w:rsidRDefault="00823D8F" w:rsidP="00823D8F">
      <w:pPr>
        <w:pStyle w:val="a3"/>
        <w:spacing w:after="120"/>
        <w:ind w:left="0"/>
        <w:rPr>
          <w:color w:val="000000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lastRenderedPageBreak/>
        <w:t>2.3. Выполнение предписаний МЧС России (в области пожарной безопасности) за последний год (заполняется при отметке п. 2.1.1)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число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778"/>
      </w:tblGrid>
      <w:tr w:rsidR="00823D8F" w:rsidTr="00B422D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 xml:space="preserve">2.3.1. Количество предписаний </w:t>
            </w:r>
            <w:r>
              <w:rPr>
                <w:color w:val="000000"/>
              </w:rPr>
              <w:t>МЧС России (в области пожарной безопасности)</w:t>
            </w:r>
            <w:r>
              <w:rPr>
                <w:iCs/>
                <w:color w:val="000000"/>
              </w:rPr>
              <w:t xml:space="preserve"> (общее)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 xml:space="preserve">2.3.2. Количество предписаний </w:t>
            </w:r>
            <w:r>
              <w:rPr>
                <w:color w:val="000000"/>
              </w:rPr>
              <w:t>МЧС России (в области пожарной безопасности)</w:t>
            </w:r>
            <w:r>
              <w:rPr>
                <w:iCs/>
                <w:color w:val="000000"/>
              </w:rPr>
              <w:t xml:space="preserve"> (невыполненных)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pStyle w:val="a3"/>
        <w:spacing w:after="120"/>
        <w:ind w:left="0"/>
      </w:pP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t>2.3. Сведения о соответствии условий эксплуатации объекта требованиям норм и правил (заполняется при отметке п. 2.1.1)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6"/>
        <w:gridCol w:w="2315"/>
      </w:tblGrid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2.3.1. Наличие отступлений от требований пожарной безопасности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spacing w:after="120"/>
        <w:rPr>
          <w:sz w:val="16"/>
          <w:szCs w:val="16"/>
        </w:rPr>
      </w:pPr>
    </w:p>
    <w:p w:rsidR="00823D8F" w:rsidRDefault="00823D8F" w:rsidP="00823D8F">
      <w:pPr>
        <w:pStyle w:val="a3"/>
        <w:ind w:left="0"/>
        <w:rPr>
          <w:color w:val="000000"/>
        </w:rPr>
      </w:pPr>
      <w:r>
        <w:rPr>
          <w:color w:val="000000"/>
        </w:rPr>
        <w:t>2.4. Наличие документации по пожарной безопасности (заполняется при отметке п. 2.1.1)</w:t>
      </w:r>
    </w:p>
    <w:p w:rsidR="00823D8F" w:rsidRDefault="00823D8F" w:rsidP="00823D8F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есть / нет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2313"/>
      </w:tblGrid>
      <w:tr w:rsidR="00823D8F" w:rsidTr="00B422D8">
        <w:trPr>
          <w:tblHeader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2.4.1. </w:t>
            </w:r>
            <w:r>
              <w:t>Декларация пожарной безопасности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2.4.2. План пожаротушения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2.4.3. План эвакуации при пожаре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b/>
              </w:rPr>
            </w:pPr>
            <w:r>
              <w:rPr>
                <w:color w:val="000000"/>
              </w:rPr>
              <w:t>2.4.4. Инструкция по пожарной безопасности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b/>
              </w:rPr>
            </w:pPr>
          </w:p>
        </w:tc>
      </w:tr>
    </w:tbl>
    <w:p w:rsidR="00823D8F" w:rsidRDefault="00823D8F" w:rsidP="00823D8F">
      <w:pPr>
        <w:suppressAutoHyphens/>
        <w:spacing w:after="120"/>
        <w:ind w:left="540"/>
        <w:rPr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540"/>
        <w:jc w:val="both"/>
        <w:rPr>
          <w:b/>
          <w:color w:val="000000"/>
        </w:rPr>
      </w:pPr>
      <w:r>
        <w:rPr>
          <w:b/>
          <w:color w:val="000000"/>
        </w:rPr>
        <w:t>3. СВЕДЕНИЯ О ГОТОВНОСТИ ВЛАДЕЛЬЦА ГТС - ОПАСНОГО ОБЪЕКТА           К ПРЕДУПРЕЖДЕНИЮ, ЛОКАЛИЗАЦИИ И ЛИКВИДАЦИИ ПОСЛЕДСТВИЙ ВОЗМОЖНОЙ АВАРИИ НА ГТС - ОПАСНОМ ОБЪЕКТЕ</w:t>
      </w: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>3.1. Резервирование систем обеспечения опасного объекта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есть / нет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2310"/>
      </w:tblGrid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3.1.1. Резервные источники электроснабжения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3.1.2. Резервные системы связи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</w:p>
        </w:tc>
      </w:tr>
    </w:tbl>
    <w:p w:rsidR="00823D8F" w:rsidRDefault="00823D8F" w:rsidP="00823D8F">
      <w:pPr>
        <w:pStyle w:val="a3"/>
        <w:spacing w:after="120"/>
        <w:ind w:left="0"/>
        <w:rPr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t>3.2. Выполнение предписаний МЧС России (в области безопасности ГТС) за последний год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число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2312"/>
      </w:tblGrid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 xml:space="preserve">3.2.1. Количество предписаний </w:t>
            </w:r>
            <w:r>
              <w:rPr>
                <w:color w:val="000000"/>
              </w:rPr>
              <w:t>МЧС России (в области безопасности ГТС)</w:t>
            </w:r>
            <w:r>
              <w:rPr>
                <w:iCs/>
                <w:color w:val="000000"/>
              </w:rPr>
              <w:t xml:space="preserve"> (общее)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iCs/>
                <w:color w:val="000000"/>
              </w:rPr>
              <w:t xml:space="preserve">3.2.2. Количество предписаний </w:t>
            </w:r>
            <w:r>
              <w:rPr>
                <w:color w:val="000000"/>
              </w:rPr>
              <w:t>МЧС России (в области безопасности ГТС)</w:t>
            </w:r>
            <w:r>
              <w:rPr>
                <w:iCs/>
                <w:color w:val="000000"/>
              </w:rPr>
              <w:t xml:space="preserve"> (невыполненных)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rPr>
          <w:sz w:val="24"/>
          <w:szCs w:val="24"/>
        </w:rPr>
      </w:pPr>
    </w:p>
    <w:p w:rsidR="00823D8F" w:rsidRDefault="00823D8F" w:rsidP="00823D8F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Сведения о соответствии условий эксплуатации ГТС – опасного объекта требованиям норм и правил [</w:t>
      </w:r>
      <w:r>
        <w:rPr>
          <w:sz w:val="24"/>
          <w:szCs w:val="24"/>
        </w:rPr>
        <w:t>п. Акта преддекларационного обследования]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6"/>
        <w:gridCol w:w="2315"/>
      </w:tblGrid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3.3.1. Наличие отступлений от требований ГО ЧС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spacing w:after="120"/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3.4. Наличие документации по гражданской обороне, предупреждению и ликвидации чрезвычайных ситуаций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есть / нет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2312"/>
      </w:tblGrid>
      <w:tr w:rsidR="00823D8F" w:rsidTr="00B422D8">
        <w:trPr>
          <w:tblHeader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3.4.1. Паспорт безопасности опасного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3.4.2. План ликвидации аварийных разливов нефти и нефтепродуктов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3.4.3. План мероприятий по предупреждению и ликвидации ЧС природного и техногенного характера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3.4.4. 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3.4.5. План подготовки руководящего состава и специалистов по вопросам  предупреждения, локализации и ликвидации чрезвычайных ситуаций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3.4.6. План гражданской обороны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3.4.7. Положение об органе управления по делам гражданской обороны и чрезвычайным ситуациям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spacing w:after="120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7"/>
        <w:gridCol w:w="4204"/>
      </w:tblGrid>
      <w:tr w:rsidR="00823D8F" w:rsidTr="00B422D8">
        <w:tc>
          <w:tcPr>
            <w:tcW w:w="5508" w:type="dxa"/>
            <w:hideMark/>
          </w:tcPr>
          <w:p w:rsidR="00823D8F" w:rsidRDefault="00823D8F" w:rsidP="00B422D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 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(дата Акта преддекларационного обследования)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5508" w:type="dxa"/>
          </w:tcPr>
          <w:p w:rsidR="00823D8F" w:rsidRDefault="00823D8F" w:rsidP="00B422D8">
            <w:pPr>
              <w:suppressAutoHyphens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дата / не проводилась</w:t>
            </w:r>
            <w:r>
              <w:rPr>
                <w:color w:val="000000"/>
              </w:rPr>
              <w:t>]</w:t>
            </w:r>
          </w:p>
        </w:tc>
      </w:tr>
    </w:tbl>
    <w:p w:rsidR="00823D8F" w:rsidRDefault="00823D8F" w:rsidP="00823D8F">
      <w:pPr>
        <w:suppressAutoHyphens/>
        <w:spacing w:after="120"/>
        <w:rPr>
          <w:b/>
          <w:color w:val="000000"/>
        </w:rPr>
      </w:pPr>
    </w:p>
    <w:p w:rsidR="00823D8F" w:rsidRDefault="00823D8F" w:rsidP="00823D8F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Финансовые и материальные ресурсы для локализации и ликвидации последствий аварий [</w:t>
      </w:r>
      <w:r>
        <w:rPr>
          <w:sz w:val="24"/>
          <w:szCs w:val="24"/>
        </w:rPr>
        <w:t>п. Акта преддекларационного обследования]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2869"/>
      </w:tblGrid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3.6.1. Финансовые ресурсы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3.6.2. Материальные ресурсы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rPr>
          <w:color w:val="000000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>3.7. Сведения о профессиональной и противоаварийной подготовке персонала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3817"/>
      </w:tblGrid>
      <w:tr w:rsidR="00823D8F" w:rsidTr="00B422D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3.7.1. Система противоаварийной подготовки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 xml:space="preserve">3.7.2. </w:t>
            </w:r>
            <w:r>
              <w:t>Проверка знаний и тренировки персонала в соответствии с планами ликвидации аварий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3.7.3. Тренировки по взаимодействию персонала с ВГСО, пожарными, медицинскими службами и т. п.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3.7.4. 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rPr>
          <w:color w:val="000000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  <w:szCs w:val="24"/>
        </w:rPr>
        <w:t>3.8. Силы и средства ликвидации аварии, аварийно-спасательные и другие службы обеспечения промышленной безопасности и защиты в ЧС [п.15.6 таблицы 1 сведений в РРГТС]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7"/>
        <w:gridCol w:w="2864"/>
      </w:tblGrid>
      <w:tr w:rsidR="00823D8F" w:rsidTr="00B422D8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3.8.1. Пожарные подразделения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3.8.2. Газоспасательные подразделения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lastRenderedPageBreak/>
              <w:t xml:space="preserve">3.8.3. </w:t>
            </w:r>
            <w:r>
              <w:t>Медицинская служба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3.8.4. Невоенизированные формирования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3.8.5. Аварийно-восстановительные подразделения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pStyle w:val="a3"/>
        <w:spacing w:after="120"/>
        <w:ind w:left="0"/>
        <w:rPr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  <w:szCs w:val="24"/>
        </w:rPr>
      </w:pPr>
      <w:r>
        <w:rPr>
          <w:color w:val="000000"/>
        </w:rPr>
        <w:t xml:space="preserve">3.9. Порядок действия сил и использования средств организации, эксплуатирующей опасный объект, а также их </w:t>
      </w:r>
      <w:r>
        <w:rPr>
          <w:color w:val="000000"/>
          <w:szCs w:val="24"/>
        </w:rPr>
        <w:t>взаимодействия с другими организациями по предупреждению, локализации и ликвидации аварий [</w:t>
      </w:r>
      <w:r>
        <w:rPr>
          <w:szCs w:val="24"/>
        </w:rPr>
        <w:t>п. Акта преддекларационного обследования]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2866"/>
      </w:tblGrid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3.9.1. Порядок действия сил и использования средств организации по предупреждению, локализации и ликвидации аварий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3.9.2. 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pStyle w:val="a3"/>
        <w:spacing w:after="120"/>
        <w:ind w:left="0"/>
        <w:rPr>
          <w:rFonts w:eastAsia="Batang"/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rFonts w:eastAsia="Batang"/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rFonts w:eastAsia="Batang"/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rFonts w:eastAsia="Batang"/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rFonts w:eastAsia="Batang"/>
          <w:color w:val="000000"/>
          <w:sz w:val="16"/>
          <w:szCs w:val="16"/>
        </w:rPr>
      </w:pPr>
    </w:p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t>3.10. Технические системы оповещения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есть / нет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683"/>
        <w:gridCol w:w="137"/>
        <w:gridCol w:w="2857"/>
      </w:tblGrid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3.10.1. Оповещение персонала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3.10.2. Оповещение соседних организаций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3.10.3. Оповещение населения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3.10.4. Оповещение МЧС России, Ростехнадзора, МВД России, ФСБ России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3.10.5. </w:t>
            </w:r>
            <w:r>
              <w:rPr>
                <w:rFonts w:eastAsia="Times New Roman"/>
                <w:color w:val="000000"/>
              </w:rPr>
              <w:t>Наличие локальной системы оповещения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 xml:space="preserve">3.11. </w:t>
            </w:r>
            <w:r>
              <w:rPr>
                <w:color w:val="000000"/>
                <w:sz w:val="24"/>
                <w:szCs w:val="24"/>
              </w:rPr>
              <w:t>Сведения о необходимых действиях населения при возникновении аварий [</w:t>
            </w:r>
            <w:r>
              <w:rPr>
                <w:sz w:val="24"/>
                <w:szCs w:val="24"/>
              </w:rPr>
              <w:t>п. Акта преддекларационного обследования]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</w:tr>
      <w:tr w:rsidR="00823D8F" w:rsidTr="00B422D8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есть / нет</w:t>
            </w:r>
            <w:r>
              <w:rPr>
                <w:color w:val="000000"/>
              </w:rPr>
              <w:t>]</w:t>
            </w:r>
          </w:p>
        </w:tc>
      </w:tr>
    </w:tbl>
    <w:p w:rsidR="00823D8F" w:rsidRDefault="00823D8F" w:rsidP="00823D8F">
      <w:pPr>
        <w:pStyle w:val="a3"/>
        <w:spacing w:after="120"/>
        <w:ind w:left="0"/>
        <w:rPr>
          <w:color w:val="000000"/>
        </w:rPr>
      </w:pPr>
      <w:r>
        <w:rPr>
          <w:color w:val="000000"/>
        </w:rPr>
        <w:t xml:space="preserve">3.12. </w:t>
      </w:r>
      <w:r>
        <w:t xml:space="preserve">Документация по </w:t>
      </w:r>
      <w:r>
        <w:rPr>
          <w:color w:val="000000"/>
        </w:rPr>
        <w:t>антитеррористическим мероприятиям (специальный вопрос)</w:t>
      </w:r>
    </w:p>
    <w:p w:rsidR="00823D8F" w:rsidRDefault="00823D8F" w:rsidP="00823D8F">
      <w:pPr>
        <w:pStyle w:val="a3"/>
        <w:spacing w:after="120"/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i/>
          <w:color w:val="000000"/>
          <w:sz w:val="20"/>
        </w:rPr>
        <w:t>есть / нет</w:t>
      </w:r>
      <w:r>
        <w:rPr>
          <w:color w:val="000000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1"/>
        <w:gridCol w:w="2860"/>
      </w:tblGrid>
      <w:tr w:rsidR="00823D8F" w:rsidTr="00B422D8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3.12.1. Паспорт антитеррористической защищенности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3.12.2. План взаимодействия с антитеррористическими подразделениями ФСБ России, внутренними войсками МВД России,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  <w:rPr>
          <w:color w:val="000000"/>
        </w:rPr>
      </w:pPr>
    </w:p>
    <w:p w:rsidR="00823D8F" w:rsidRDefault="00823D8F" w:rsidP="00823D8F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Меры по предотвращению постороннего вмешательства в деятельность на объекте, а также по противодействию возможным террористическим актам [</w:t>
      </w:r>
      <w:r>
        <w:rPr>
          <w:sz w:val="24"/>
          <w:szCs w:val="24"/>
        </w:rPr>
        <w:t>п. Акта преддекларационного обследования]</w:t>
      </w:r>
    </w:p>
    <w:p w:rsidR="00823D8F" w:rsidRDefault="00823D8F" w:rsidP="00823D8F">
      <w:pPr>
        <w:suppressAutoHyphens/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>есть / нет</w:t>
      </w:r>
      <w:r>
        <w:rPr>
          <w:color w:val="00000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2861"/>
      </w:tblGrid>
      <w:tr w:rsidR="00823D8F" w:rsidTr="00B422D8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D8F" w:rsidRDefault="00823D8F" w:rsidP="00B422D8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3.13.1. Наличие инженерных заграждений (забор, колючая проволока)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lastRenderedPageBreak/>
              <w:t>3.13.2. Наличие невооруженной охраны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</w:pPr>
            <w:r>
              <w:rPr>
                <w:color w:val="000000"/>
              </w:rPr>
              <w:t>3.13.3. Наличие вооруженной охраны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3.13.4. Наличие караульных собак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3.13.5. Наличие автоматизированных систем контроля и управления доступом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3.13.6. Наличие технических систем обнаружения несанкционированного проникновения  на территорию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  <w:tr w:rsidR="00823D8F" w:rsidTr="00B422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F" w:rsidRDefault="00823D8F" w:rsidP="00B422D8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3.13.7. Наличие кнопки тревожной сигнализации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F" w:rsidRDefault="00823D8F" w:rsidP="00B422D8">
            <w:pPr>
              <w:suppressAutoHyphens/>
              <w:spacing w:line="276" w:lineRule="auto"/>
            </w:pPr>
          </w:p>
        </w:tc>
      </w:tr>
    </w:tbl>
    <w:p w:rsidR="00823D8F" w:rsidRDefault="00823D8F" w:rsidP="00823D8F">
      <w:pPr>
        <w:suppressAutoHyphens/>
      </w:pPr>
    </w:p>
    <w:p w:rsidR="00823D8F" w:rsidRDefault="00823D8F" w:rsidP="00823D8F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Источники информации</w:t>
      </w:r>
    </w:p>
    <w:p w:rsidR="00823D8F" w:rsidRDefault="00823D8F" w:rsidP="00823D8F">
      <w:pPr>
        <w:suppressAutoHyphens/>
        <w:rPr>
          <w:color w:val="000000"/>
          <w:sz w:val="24"/>
          <w:szCs w:val="24"/>
        </w:rPr>
      </w:pPr>
      <w:r>
        <w:rPr>
          <w:sz w:val="24"/>
          <w:szCs w:val="24"/>
        </w:rPr>
        <w:t>[</w:t>
      </w:r>
      <w:r>
        <w:rPr>
          <w:color w:val="000000"/>
          <w:sz w:val="24"/>
          <w:szCs w:val="24"/>
        </w:rPr>
        <w:t>РРГТС</w:t>
      </w:r>
      <w:r>
        <w:rPr>
          <w:sz w:val="24"/>
          <w:szCs w:val="24"/>
        </w:rPr>
        <w:t xml:space="preserve">] – </w:t>
      </w:r>
      <w:r>
        <w:rPr>
          <w:color w:val="000000"/>
          <w:sz w:val="24"/>
          <w:szCs w:val="24"/>
        </w:rPr>
        <w:t xml:space="preserve">Российского регистра гидротехнических сооружений </w:t>
      </w:r>
    </w:p>
    <w:p w:rsidR="00823D8F" w:rsidRDefault="00823D8F" w:rsidP="00823D8F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[Акт предекларационного обследования]  – Акт предекларационного обследования гидротехнических сооружений</w:t>
      </w:r>
    </w:p>
    <w:p w:rsidR="00823D8F" w:rsidRDefault="00823D8F" w:rsidP="00823D8F"/>
    <w:p w:rsidR="00934E6D" w:rsidRDefault="00934E6D"/>
    <w:sectPr w:rsidR="009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F"/>
    <w:rsid w:val="00000209"/>
    <w:rsid w:val="00002113"/>
    <w:rsid w:val="00003584"/>
    <w:rsid w:val="000055D0"/>
    <w:rsid w:val="0000702E"/>
    <w:rsid w:val="00015A1D"/>
    <w:rsid w:val="0002423D"/>
    <w:rsid w:val="0003127B"/>
    <w:rsid w:val="00031AFA"/>
    <w:rsid w:val="00037701"/>
    <w:rsid w:val="00042A20"/>
    <w:rsid w:val="0004615D"/>
    <w:rsid w:val="00051EF2"/>
    <w:rsid w:val="00057182"/>
    <w:rsid w:val="0006526C"/>
    <w:rsid w:val="000704A3"/>
    <w:rsid w:val="000843DF"/>
    <w:rsid w:val="00094D91"/>
    <w:rsid w:val="000A69DE"/>
    <w:rsid w:val="000B36FC"/>
    <w:rsid w:val="000B43C8"/>
    <w:rsid w:val="000C1F6A"/>
    <w:rsid w:val="000C3741"/>
    <w:rsid w:val="000C4B37"/>
    <w:rsid w:val="000D481D"/>
    <w:rsid w:val="000D5B9A"/>
    <w:rsid w:val="000D7FD2"/>
    <w:rsid w:val="000E1340"/>
    <w:rsid w:val="000E3796"/>
    <w:rsid w:val="000F1DB2"/>
    <w:rsid w:val="000F2594"/>
    <w:rsid w:val="000F3894"/>
    <w:rsid w:val="001004A5"/>
    <w:rsid w:val="00107236"/>
    <w:rsid w:val="00116E24"/>
    <w:rsid w:val="001308BB"/>
    <w:rsid w:val="00146CC3"/>
    <w:rsid w:val="00146EA1"/>
    <w:rsid w:val="0015108F"/>
    <w:rsid w:val="00152275"/>
    <w:rsid w:val="00156506"/>
    <w:rsid w:val="00164AF5"/>
    <w:rsid w:val="00176E8D"/>
    <w:rsid w:val="0018152D"/>
    <w:rsid w:val="0018290A"/>
    <w:rsid w:val="001919DD"/>
    <w:rsid w:val="001965CF"/>
    <w:rsid w:val="001B58C9"/>
    <w:rsid w:val="001B7EC9"/>
    <w:rsid w:val="001C4CC6"/>
    <w:rsid w:val="001C52B4"/>
    <w:rsid w:val="001C6C50"/>
    <w:rsid w:val="001D2824"/>
    <w:rsid w:val="001E6094"/>
    <w:rsid w:val="001F0DEB"/>
    <w:rsid w:val="001F0E86"/>
    <w:rsid w:val="0020033E"/>
    <w:rsid w:val="00201242"/>
    <w:rsid w:val="0020301C"/>
    <w:rsid w:val="002048BE"/>
    <w:rsid w:val="00205E26"/>
    <w:rsid w:val="00211F84"/>
    <w:rsid w:val="00216E56"/>
    <w:rsid w:val="00217085"/>
    <w:rsid w:val="00225A02"/>
    <w:rsid w:val="00227055"/>
    <w:rsid w:val="00232FAE"/>
    <w:rsid w:val="002331E9"/>
    <w:rsid w:val="00233C27"/>
    <w:rsid w:val="00234241"/>
    <w:rsid w:val="00253774"/>
    <w:rsid w:val="0025695A"/>
    <w:rsid w:val="00260689"/>
    <w:rsid w:val="0026407F"/>
    <w:rsid w:val="002671A5"/>
    <w:rsid w:val="00271153"/>
    <w:rsid w:val="00287973"/>
    <w:rsid w:val="002A00D5"/>
    <w:rsid w:val="002B1506"/>
    <w:rsid w:val="002C6542"/>
    <w:rsid w:val="002D20C9"/>
    <w:rsid w:val="002D56D8"/>
    <w:rsid w:val="002E4B2C"/>
    <w:rsid w:val="002E5B2A"/>
    <w:rsid w:val="002E7ADD"/>
    <w:rsid w:val="002F28A3"/>
    <w:rsid w:val="002F3B36"/>
    <w:rsid w:val="00307A69"/>
    <w:rsid w:val="00313702"/>
    <w:rsid w:val="00314D13"/>
    <w:rsid w:val="003179F0"/>
    <w:rsid w:val="00323C73"/>
    <w:rsid w:val="00325718"/>
    <w:rsid w:val="00344DBF"/>
    <w:rsid w:val="00352545"/>
    <w:rsid w:val="00355652"/>
    <w:rsid w:val="00356802"/>
    <w:rsid w:val="003639D2"/>
    <w:rsid w:val="00364323"/>
    <w:rsid w:val="00366F36"/>
    <w:rsid w:val="00376FBB"/>
    <w:rsid w:val="003814AC"/>
    <w:rsid w:val="00382748"/>
    <w:rsid w:val="00395548"/>
    <w:rsid w:val="003A1CD4"/>
    <w:rsid w:val="003A36A5"/>
    <w:rsid w:val="003A53B4"/>
    <w:rsid w:val="003C0C1D"/>
    <w:rsid w:val="003C31A6"/>
    <w:rsid w:val="003C590B"/>
    <w:rsid w:val="003D03B5"/>
    <w:rsid w:val="003D0A29"/>
    <w:rsid w:val="003D2CBD"/>
    <w:rsid w:val="003E0501"/>
    <w:rsid w:val="003E0A80"/>
    <w:rsid w:val="003E1777"/>
    <w:rsid w:val="003E5D74"/>
    <w:rsid w:val="003F079C"/>
    <w:rsid w:val="003F160D"/>
    <w:rsid w:val="003F7A72"/>
    <w:rsid w:val="00406972"/>
    <w:rsid w:val="0042049B"/>
    <w:rsid w:val="00434BB7"/>
    <w:rsid w:val="004372F2"/>
    <w:rsid w:val="00441DB7"/>
    <w:rsid w:val="004445C5"/>
    <w:rsid w:val="004706BD"/>
    <w:rsid w:val="00471E49"/>
    <w:rsid w:val="00473C76"/>
    <w:rsid w:val="00484E13"/>
    <w:rsid w:val="004A7366"/>
    <w:rsid w:val="004A76F0"/>
    <w:rsid w:val="004B1F33"/>
    <w:rsid w:val="004B7FD6"/>
    <w:rsid w:val="004C07D9"/>
    <w:rsid w:val="004C127B"/>
    <w:rsid w:val="004C23D0"/>
    <w:rsid w:val="004C2E42"/>
    <w:rsid w:val="004C6962"/>
    <w:rsid w:val="004E2B44"/>
    <w:rsid w:val="004E70A9"/>
    <w:rsid w:val="00505420"/>
    <w:rsid w:val="0050720F"/>
    <w:rsid w:val="00530E30"/>
    <w:rsid w:val="005318D9"/>
    <w:rsid w:val="0053405B"/>
    <w:rsid w:val="00537276"/>
    <w:rsid w:val="00553B26"/>
    <w:rsid w:val="0056165C"/>
    <w:rsid w:val="005617C8"/>
    <w:rsid w:val="005622C2"/>
    <w:rsid w:val="00563969"/>
    <w:rsid w:val="00570FE1"/>
    <w:rsid w:val="005904EF"/>
    <w:rsid w:val="0059063C"/>
    <w:rsid w:val="00591482"/>
    <w:rsid w:val="005A019A"/>
    <w:rsid w:val="005A43DD"/>
    <w:rsid w:val="005B0DB1"/>
    <w:rsid w:val="005B2CDC"/>
    <w:rsid w:val="005B7165"/>
    <w:rsid w:val="005D5E8A"/>
    <w:rsid w:val="005E26A1"/>
    <w:rsid w:val="005F265A"/>
    <w:rsid w:val="005F4CEE"/>
    <w:rsid w:val="0061138B"/>
    <w:rsid w:val="0061365D"/>
    <w:rsid w:val="00622885"/>
    <w:rsid w:val="00634C00"/>
    <w:rsid w:val="00641570"/>
    <w:rsid w:val="006467CD"/>
    <w:rsid w:val="00650900"/>
    <w:rsid w:val="00650BF5"/>
    <w:rsid w:val="006734DC"/>
    <w:rsid w:val="006878EF"/>
    <w:rsid w:val="0069019A"/>
    <w:rsid w:val="00690336"/>
    <w:rsid w:val="00690582"/>
    <w:rsid w:val="006925D2"/>
    <w:rsid w:val="00694FFB"/>
    <w:rsid w:val="006A1156"/>
    <w:rsid w:val="006A49A7"/>
    <w:rsid w:val="006A58E7"/>
    <w:rsid w:val="006A5CF3"/>
    <w:rsid w:val="006B09BC"/>
    <w:rsid w:val="006B2F42"/>
    <w:rsid w:val="006C0A14"/>
    <w:rsid w:val="006C2123"/>
    <w:rsid w:val="006E56B7"/>
    <w:rsid w:val="006F06E9"/>
    <w:rsid w:val="00701726"/>
    <w:rsid w:val="0071694F"/>
    <w:rsid w:val="007225CF"/>
    <w:rsid w:val="0072400D"/>
    <w:rsid w:val="00724F66"/>
    <w:rsid w:val="00733C65"/>
    <w:rsid w:val="00735050"/>
    <w:rsid w:val="00736471"/>
    <w:rsid w:val="007415B0"/>
    <w:rsid w:val="00746EAC"/>
    <w:rsid w:val="00751D1F"/>
    <w:rsid w:val="00755870"/>
    <w:rsid w:val="00763638"/>
    <w:rsid w:val="007646D0"/>
    <w:rsid w:val="00774EB7"/>
    <w:rsid w:val="00781D55"/>
    <w:rsid w:val="0078260C"/>
    <w:rsid w:val="0078286C"/>
    <w:rsid w:val="007917BD"/>
    <w:rsid w:val="007A0151"/>
    <w:rsid w:val="007A077B"/>
    <w:rsid w:val="007A2C93"/>
    <w:rsid w:val="007B2495"/>
    <w:rsid w:val="007B387C"/>
    <w:rsid w:val="007B4CC1"/>
    <w:rsid w:val="007D0B1D"/>
    <w:rsid w:val="007D20A5"/>
    <w:rsid w:val="007E1904"/>
    <w:rsid w:val="007E2F08"/>
    <w:rsid w:val="007E5E0D"/>
    <w:rsid w:val="007F1E90"/>
    <w:rsid w:val="007F2997"/>
    <w:rsid w:val="007F3767"/>
    <w:rsid w:val="007F3CBC"/>
    <w:rsid w:val="00800BA0"/>
    <w:rsid w:val="008025F6"/>
    <w:rsid w:val="008111DD"/>
    <w:rsid w:val="00811332"/>
    <w:rsid w:val="00817342"/>
    <w:rsid w:val="008213F8"/>
    <w:rsid w:val="00822D9C"/>
    <w:rsid w:val="00823D8F"/>
    <w:rsid w:val="00836C1C"/>
    <w:rsid w:val="00841233"/>
    <w:rsid w:val="00841BE9"/>
    <w:rsid w:val="0084492C"/>
    <w:rsid w:val="00847029"/>
    <w:rsid w:val="008502D9"/>
    <w:rsid w:val="00852353"/>
    <w:rsid w:val="00862D54"/>
    <w:rsid w:val="00875CD0"/>
    <w:rsid w:val="00897852"/>
    <w:rsid w:val="008A503E"/>
    <w:rsid w:val="008A53CA"/>
    <w:rsid w:val="008A621A"/>
    <w:rsid w:val="008A6D5F"/>
    <w:rsid w:val="008B156D"/>
    <w:rsid w:val="008B17F5"/>
    <w:rsid w:val="008C497A"/>
    <w:rsid w:val="008D1C7D"/>
    <w:rsid w:val="008D4282"/>
    <w:rsid w:val="008D722E"/>
    <w:rsid w:val="008D761A"/>
    <w:rsid w:val="008E1E7F"/>
    <w:rsid w:val="008E38CB"/>
    <w:rsid w:val="008F055E"/>
    <w:rsid w:val="008F3748"/>
    <w:rsid w:val="0090019F"/>
    <w:rsid w:val="009009AE"/>
    <w:rsid w:val="009037B6"/>
    <w:rsid w:val="009039CE"/>
    <w:rsid w:val="00907A43"/>
    <w:rsid w:val="00907C39"/>
    <w:rsid w:val="00910AFD"/>
    <w:rsid w:val="00915A6C"/>
    <w:rsid w:val="009240FF"/>
    <w:rsid w:val="00925C03"/>
    <w:rsid w:val="00934D44"/>
    <w:rsid w:val="00934E6D"/>
    <w:rsid w:val="00937938"/>
    <w:rsid w:val="009562A6"/>
    <w:rsid w:val="00971762"/>
    <w:rsid w:val="00984826"/>
    <w:rsid w:val="00985A6D"/>
    <w:rsid w:val="00991C9B"/>
    <w:rsid w:val="0099437E"/>
    <w:rsid w:val="009946BF"/>
    <w:rsid w:val="009B25A3"/>
    <w:rsid w:val="009B2B61"/>
    <w:rsid w:val="009B2DB7"/>
    <w:rsid w:val="009C0676"/>
    <w:rsid w:val="009C1452"/>
    <w:rsid w:val="009C29DB"/>
    <w:rsid w:val="009D0237"/>
    <w:rsid w:val="009D20BD"/>
    <w:rsid w:val="009E290E"/>
    <w:rsid w:val="009E53A5"/>
    <w:rsid w:val="009E64D4"/>
    <w:rsid w:val="009F10DE"/>
    <w:rsid w:val="00A02581"/>
    <w:rsid w:val="00A04AFF"/>
    <w:rsid w:val="00A10054"/>
    <w:rsid w:val="00A13AD7"/>
    <w:rsid w:val="00A22DC6"/>
    <w:rsid w:val="00A27F88"/>
    <w:rsid w:val="00A30C60"/>
    <w:rsid w:val="00A34055"/>
    <w:rsid w:val="00A41B20"/>
    <w:rsid w:val="00A523A1"/>
    <w:rsid w:val="00A542D3"/>
    <w:rsid w:val="00A55004"/>
    <w:rsid w:val="00A57520"/>
    <w:rsid w:val="00A63F46"/>
    <w:rsid w:val="00A6581D"/>
    <w:rsid w:val="00A665A3"/>
    <w:rsid w:val="00A74BD3"/>
    <w:rsid w:val="00A7518E"/>
    <w:rsid w:val="00A8459B"/>
    <w:rsid w:val="00A850D2"/>
    <w:rsid w:val="00A86ABC"/>
    <w:rsid w:val="00A94956"/>
    <w:rsid w:val="00AA0162"/>
    <w:rsid w:val="00AA200A"/>
    <w:rsid w:val="00AA5F32"/>
    <w:rsid w:val="00AA7ED0"/>
    <w:rsid w:val="00AB7649"/>
    <w:rsid w:val="00AC359B"/>
    <w:rsid w:val="00AD3E7B"/>
    <w:rsid w:val="00AE2151"/>
    <w:rsid w:val="00AE2B36"/>
    <w:rsid w:val="00AF4083"/>
    <w:rsid w:val="00AF461C"/>
    <w:rsid w:val="00B00665"/>
    <w:rsid w:val="00B053C0"/>
    <w:rsid w:val="00B13C73"/>
    <w:rsid w:val="00B14744"/>
    <w:rsid w:val="00B161A5"/>
    <w:rsid w:val="00B25DCC"/>
    <w:rsid w:val="00B25E25"/>
    <w:rsid w:val="00B41D56"/>
    <w:rsid w:val="00B463E7"/>
    <w:rsid w:val="00B513AB"/>
    <w:rsid w:val="00B645E7"/>
    <w:rsid w:val="00B65B4E"/>
    <w:rsid w:val="00B73587"/>
    <w:rsid w:val="00B75E52"/>
    <w:rsid w:val="00B825E5"/>
    <w:rsid w:val="00B841BA"/>
    <w:rsid w:val="00B86D11"/>
    <w:rsid w:val="00BA7497"/>
    <w:rsid w:val="00BB2204"/>
    <w:rsid w:val="00BB2F2C"/>
    <w:rsid w:val="00BB3649"/>
    <w:rsid w:val="00BB41BB"/>
    <w:rsid w:val="00BF3033"/>
    <w:rsid w:val="00BF5CA8"/>
    <w:rsid w:val="00BF7AD1"/>
    <w:rsid w:val="00C01D2C"/>
    <w:rsid w:val="00C0230A"/>
    <w:rsid w:val="00C1007B"/>
    <w:rsid w:val="00C20423"/>
    <w:rsid w:val="00C24B8A"/>
    <w:rsid w:val="00C252A7"/>
    <w:rsid w:val="00C302F5"/>
    <w:rsid w:val="00C33ABE"/>
    <w:rsid w:val="00C33F5B"/>
    <w:rsid w:val="00C44157"/>
    <w:rsid w:val="00C51BFD"/>
    <w:rsid w:val="00C61678"/>
    <w:rsid w:val="00C63709"/>
    <w:rsid w:val="00C63893"/>
    <w:rsid w:val="00C701EE"/>
    <w:rsid w:val="00C7314F"/>
    <w:rsid w:val="00C74082"/>
    <w:rsid w:val="00C74B1E"/>
    <w:rsid w:val="00C85858"/>
    <w:rsid w:val="00C871C9"/>
    <w:rsid w:val="00C8725B"/>
    <w:rsid w:val="00CA0F12"/>
    <w:rsid w:val="00CA4893"/>
    <w:rsid w:val="00CA5717"/>
    <w:rsid w:val="00CB521E"/>
    <w:rsid w:val="00CC7623"/>
    <w:rsid w:val="00CD1510"/>
    <w:rsid w:val="00CE35E7"/>
    <w:rsid w:val="00CF0409"/>
    <w:rsid w:val="00CF1220"/>
    <w:rsid w:val="00CF269F"/>
    <w:rsid w:val="00CF4F1C"/>
    <w:rsid w:val="00CF5507"/>
    <w:rsid w:val="00D03A44"/>
    <w:rsid w:val="00D10980"/>
    <w:rsid w:val="00D11F43"/>
    <w:rsid w:val="00D1207D"/>
    <w:rsid w:val="00D12C70"/>
    <w:rsid w:val="00D14CB2"/>
    <w:rsid w:val="00D224AB"/>
    <w:rsid w:val="00D273ED"/>
    <w:rsid w:val="00D37448"/>
    <w:rsid w:val="00D419F7"/>
    <w:rsid w:val="00D46A14"/>
    <w:rsid w:val="00D57A99"/>
    <w:rsid w:val="00D66B2B"/>
    <w:rsid w:val="00D66D41"/>
    <w:rsid w:val="00D66F1F"/>
    <w:rsid w:val="00D66F3B"/>
    <w:rsid w:val="00D76561"/>
    <w:rsid w:val="00D83DFD"/>
    <w:rsid w:val="00D856EE"/>
    <w:rsid w:val="00D86D82"/>
    <w:rsid w:val="00D927AE"/>
    <w:rsid w:val="00D92B6A"/>
    <w:rsid w:val="00D96B08"/>
    <w:rsid w:val="00DB1549"/>
    <w:rsid w:val="00DB64FA"/>
    <w:rsid w:val="00DB6DAF"/>
    <w:rsid w:val="00DD3EC7"/>
    <w:rsid w:val="00DD49D8"/>
    <w:rsid w:val="00DD6532"/>
    <w:rsid w:val="00E02CC2"/>
    <w:rsid w:val="00E144B6"/>
    <w:rsid w:val="00E22714"/>
    <w:rsid w:val="00E31FB8"/>
    <w:rsid w:val="00E3321F"/>
    <w:rsid w:val="00E33F82"/>
    <w:rsid w:val="00E36404"/>
    <w:rsid w:val="00E36804"/>
    <w:rsid w:val="00E3763B"/>
    <w:rsid w:val="00E4006E"/>
    <w:rsid w:val="00E4171C"/>
    <w:rsid w:val="00E4195C"/>
    <w:rsid w:val="00E569BD"/>
    <w:rsid w:val="00E6180E"/>
    <w:rsid w:val="00E619EB"/>
    <w:rsid w:val="00E653FF"/>
    <w:rsid w:val="00E72254"/>
    <w:rsid w:val="00E74A29"/>
    <w:rsid w:val="00E77968"/>
    <w:rsid w:val="00E97828"/>
    <w:rsid w:val="00EA590D"/>
    <w:rsid w:val="00EA7AB3"/>
    <w:rsid w:val="00EB2D69"/>
    <w:rsid w:val="00ED28CC"/>
    <w:rsid w:val="00ED2E25"/>
    <w:rsid w:val="00ED349B"/>
    <w:rsid w:val="00EE3DFB"/>
    <w:rsid w:val="00EE5EBB"/>
    <w:rsid w:val="00EE7284"/>
    <w:rsid w:val="00F034B9"/>
    <w:rsid w:val="00F051B0"/>
    <w:rsid w:val="00F077BD"/>
    <w:rsid w:val="00F23B85"/>
    <w:rsid w:val="00F23EA5"/>
    <w:rsid w:val="00F26F82"/>
    <w:rsid w:val="00F312F8"/>
    <w:rsid w:val="00F428B7"/>
    <w:rsid w:val="00F45707"/>
    <w:rsid w:val="00F46005"/>
    <w:rsid w:val="00F543AE"/>
    <w:rsid w:val="00F54B95"/>
    <w:rsid w:val="00F56F1C"/>
    <w:rsid w:val="00F64997"/>
    <w:rsid w:val="00F71A7F"/>
    <w:rsid w:val="00F73CFA"/>
    <w:rsid w:val="00F933F8"/>
    <w:rsid w:val="00FA21A8"/>
    <w:rsid w:val="00FA4EF2"/>
    <w:rsid w:val="00FA71F6"/>
    <w:rsid w:val="00FC65A6"/>
    <w:rsid w:val="00FE3FE0"/>
    <w:rsid w:val="00FE6025"/>
    <w:rsid w:val="00FE7211"/>
    <w:rsid w:val="00FE7A7F"/>
    <w:rsid w:val="00FF1D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3D8F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23D8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3D8F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23D8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2015-02-05T07:56:00Z</dcterms:created>
  <dcterms:modified xsi:type="dcterms:W3CDTF">2015-02-05T07:56:00Z</dcterms:modified>
</cp:coreProperties>
</file>