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E5" w:rsidRPr="002671E5" w:rsidRDefault="002671E5" w:rsidP="00970FA9">
      <w:pPr>
        <w:jc w:val="center"/>
        <w:rPr>
          <w:rFonts w:ascii="Garamond" w:hAnsi="Garamond" w:cs="Times New Roman"/>
          <w:b/>
          <w:sz w:val="24"/>
          <w:szCs w:val="24"/>
        </w:rPr>
      </w:pPr>
    </w:p>
    <w:p w:rsidR="00970FA9" w:rsidRPr="002671E5" w:rsidRDefault="00970FA9" w:rsidP="00970FA9">
      <w:pPr>
        <w:jc w:val="center"/>
        <w:rPr>
          <w:rFonts w:ascii="Garamond" w:hAnsi="Garamond" w:cs="Times New Roman"/>
          <w:b/>
          <w:sz w:val="24"/>
          <w:szCs w:val="24"/>
        </w:rPr>
      </w:pPr>
      <w:r w:rsidRPr="002671E5">
        <w:rPr>
          <w:rFonts w:ascii="Garamond" w:hAnsi="Garamond" w:cs="Times New Roman"/>
          <w:b/>
          <w:sz w:val="24"/>
          <w:szCs w:val="24"/>
        </w:rPr>
        <w:t>ДОПОЛНИТЕЛЬНЫЕ УСЛОВИЯ СТРАХОВАНИЯ ПРОФЕССИОНАЛЬНОЙ ОТВЕТСТВЕННОСТИ НОТАРИУСОВ</w:t>
      </w:r>
    </w:p>
    <w:p w:rsidR="00970FA9" w:rsidRPr="002671E5" w:rsidRDefault="00970FA9" w:rsidP="00970FA9">
      <w:pPr>
        <w:jc w:val="center"/>
        <w:rPr>
          <w:rFonts w:ascii="Garamond" w:hAnsi="Garamond" w:cs="Times New Roman"/>
          <w:sz w:val="24"/>
          <w:szCs w:val="24"/>
        </w:rPr>
      </w:pPr>
    </w:p>
    <w:p w:rsidR="00970FA9" w:rsidRPr="002671E5" w:rsidRDefault="00970FA9" w:rsidP="00970FA9">
      <w:pPr>
        <w:jc w:val="center"/>
        <w:rPr>
          <w:rFonts w:ascii="Garamond" w:hAnsi="Garamond" w:cs="Times New Roman"/>
          <w:sz w:val="24"/>
          <w:szCs w:val="24"/>
          <w:u w:val="single"/>
        </w:rPr>
      </w:pPr>
      <w:r w:rsidRPr="002671E5">
        <w:rPr>
          <w:rFonts w:ascii="Garamond" w:hAnsi="Garamond" w:cs="Times New Roman"/>
          <w:sz w:val="24"/>
          <w:szCs w:val="24"/>
          <w:u w:val="single"/>
        </w:rPr>
        <w:t>(к Общим условиям по страхованию профессиональной ответственности</w:t>
      </w:r>
    </w:p>
    <w:p w:rsidR="00970FA9" w:rsidRDefault="00970FA9" w:rsidP="00970FA9">
      <w:pPr>
        <w:jc w:val="center"/>
        <w:rPr>
          <w:rFonts w:ascii="Garamond" w:hAnsi="Garamond" w:cs="Times New Roman"/>
          <w:sz w:val="24"/>
          <w:szCs w:val="24"/>
          <w:u w:val="single"/>
        </w:rPr>
      </w:pPr>
      <w:r w:rsidRPr="002671E5">
        <w:rPr>
          <w:rFonts w:ascii="Garamond" w:hAnsi="Garamond" w:cs="Times New Roman"/>
          <w:sz w:val="24"/>
          <w:szCs w:val="24"/>
          <w:u w:val="single"/>
        </w:rPr>
        <w:t>(далее – Общие условия))</w:t>
      </w:r>
    </w:p>
    <w:p w:rsidR="00153D05" w:rsidRPr="002671E5" w:rsidRDefault="00153D05" w:rsidP="00970FA9">
      <w:pPr>
        <w:jc w:val="center"/>
        <w:rPr>
          <w:rFonts w:ascii="Garamond" w:hAnsi="Garamond" w:cs="Times New Roman"/>
          <w:sz w:val="24"/>
          <w:szCs w:val="24"/>
          <w:u w:val="single"/>
        </w:rPr>
      </w:pPr>
    </w:p>
    <w:p w:rsidR="00970FA9" w:rsidRPr="002671E5" w:rsidRDefault="00970FA9" w:rsidP="00970FA9">
      <w:pPr>
        <w:spacing w:before="120"/>
        <w:ind w:firstLine="709"/>
        <w:jc w:val="both"/>
        <w:rPr>
          <w:rFonts w:ascii="Garamond" w:hAnsi="Garamond" w:cs="Times New Roman"/>
          <w:b/>
          <w:sz w:val="24"/>
          <w:szCs w:val="24"/>
        </w:rPr>
      </w:pPr>
      <w:r w:rsidRPr="002671E5">
        <w:rPr>
          <w:rFonts w:ascii="Garamond" w:hAnsi="Garamond" w:cs="Times New Roman"/>
          <w:b/>
          <w:sz w:val="24"/>
          <w:szCs w:val="24"/>
        </w:rPr>
        <w:t xml:space="preserve">1. К п.2.2. Общих условий </w:t>
      </w:r>
    </w:p>
    <w:p w:rsidR="00970FA9" w:rsidRPr="002671E5" w:rsidRDefault="00970FA9" w:rsidP="00970FA9">
      <w:pPr>
        <w:spacing w:before="120"/>
        <w:ind w:firstLine="709"/>
        <w:jc w:val="both"/>
        <w:rPr>
          <w:rFonts w:ascii="Garamond" w:hAnsi="Garamond" w:cs="Times New Roman"/>
          <w:sz w:val="24"/>
          <w:szCs w:val="24"/>
        </w:rPr>
      </w:pPr>
      <w:r w:rsidRPr="002671E5">
        <w:rPr>
          <w:rFonts w:ascii="Garamond" w:hAnsi="Garamond" w:cs="Times New Roman"/>
          <w:sz w:val="24"/>
          <w:szCs w:val="24"/>
        </w:rPr>
        <w:t>1.1. Страхователями в соответствии с настоящими Дополнительными условиями помимо лиц, указанных в п.2.2. Общих условий, также могут являться нотариальные палаты субъекта Российской Федерации.</w:t>
      </w:r>
    </w:p>
    <w:p w:rsidR="00970FA9" w:rsidRPr="002671E5" w:rsidRDefault="00970FA9" w:rsidP="00970FA9">
      <w:pPr>
        <w:spacing w:before="120"/>
        <w:ind w:firstLine="709"/>
        <w:jc w:val="both"/>
        <w:rPr>
          <w:rFonts w:ascii="Garamond" w:hAnsi="Garamond" w:cs="Times New Roman"/>
          <w:b/>
          <w:sz w:val="24"/>
          <w:szCs w:val="24"/>
        </w:rPr>
      </w:pPr>
      <w:r w:rsidRPr="002671E5">
        <w:rPr>
          <w:rFonts w:ascii="Garamond" w:hAnsi="Garamond" w:cs="Times New Roman"/>
          <w:b/>
          <w:sz w:val="24"/>
          <w:szCs w:val="24"/>
        </w:rPr>
        <w:t>2. К п. 2.7. Общих условий</w:t>
      </w:r>
    </w:p>
    <w:p w:rsidR="00970FA9" w:rsidRPr="002671E5" w:rsidRDefault="00970FA9" w:rsidP="00970FA9">
      <w:pPr>
        <w:ind w:firstLine="709"/>
        <w:jc w:val="both"/>
        <w:rPr>
          <w:rFonts w:ascii="Garamond" w:hAnsi="Garamond" w:cs="Times New Roman"/>
          <w:b/>
          <w:sz w:val="24"/>
          <w:szCs w:val="24"/>
        </w:rPr>
      </w:pPr>
      <w:r w:rsidRPr="002671E5">
        <w:rPr>
          <w:rFonts w:ascii="Garamond" w:hAnsi="Garamond" w:cs="Times New Roman"/>
          <w:sz w:val="24"/>
          <w:szCs w:val="24"/>
        </w:rPr>
        <w:t>2.1. Третьими лицами являются любые лица, которым может быть причинен имущественный вред при осуществлении Страхователем нотариальной деятельности. Третьими лицами, в том числе являются граждане и юридические лица, обратившиеся к Страхователю за совершением нотариального действия.</w:t>
      </w:r>
    </w:p>
    <w:p w:rsidR="00970FA9" w:rsidRPr="002671E5" w:rsidRDefault="00970FA9" w:rsidP="00970FA9">
      <w:pPr>
        <w:spacing w:before="120"/>
        <w:ind w:firstLine="709"/>
        <w:jc w:val="both"/>
        <w:rPr>
          <w:rFonts w:ascii="Garamond" w:hAnsi="Garamond" w:cs="Times New Roman"/>
          <w:b/>
          <w:sz w:val="24"/>
          <w:szCs w:val="24"/>
        </w:rPr>
      </w:pPr>
      <w:r w:rsidRPr="002671E5">
        <w:rPr>
          <w:rFonts w:ascii="Garamond" w:hAnsi="Garamond" w:cs="Times New Roman"/>
          <w:b/>
          <w:sz w:val="24"/>
          <w:szCs w:val="24"/>
        </w:rPr>
        <w:t>3. К п. 2.9. Общих условий</w:t>
      </w:r>
    </w:p>
    <w:p w:rsidR="00970FA9" w:rsidRPr="002671E5" w:rsidRDefault="00970FA9" w:rsidP="00970FA9">
      <w:pPr>
        <w:shd w:val="clear" w:color="auto" w:fill="FFFFFF"/>
        <w:spacing w:before="120"/>
        <w:ind w:firstLine="709"/>
        <w:jc w:val="both"/>
        <w:rPr>
          <w:rFonts w:ascii="Garamond" w:hAnsi="Garamond" w:cs="Times New Roman"/>
          <w:sz w:val="24"/>
          <w:szCs w:val="24"/>
        </w:rPr>
      </w:pPr>
      <w:r w:rsidRPr="002671E5">
        <w:rPr>
          <w:rFonts w:ascii="Garamond" w:hAnsi="Garamond" w:cs="Times New Roman"/>
          <w:sz w:val="24"/>
          <w:szCs w:val="24"/>
        </w:rPr>
        <w:t>3.1. Под нотариальной деятельностью в рамках настоящих Дополнительных условий понимается совершение следующих действий:</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удостоверение сделок;</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выдача свидетельств о праве собственности на долю в общем имуществе супругов;</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наложение и снятие запрещения отчуждения имущества;</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свидетельствование верности копий документов;</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свидетельствование подлинности подписи на документах;</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свидетельствование верности перевода документов с одного языка на другой;</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удостоверение факта нахождения гражданина в живых;</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удостоверение факта нахождения гражданина в определенном месте;</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удостоверение тождественности гражданина с лицом, изображенным на фотографии;</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удостоверение времени предъявления документов;</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передача заявлений физических и юридических лиц другим физическим и юридическим лицам;</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принятие в депозит денежных сумм и ценных бумаг;</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совершение исполнительных надписей;</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совершение протестов векселей;</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предъявление чеков к платежу и удостоверение неоплаты чеков;</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принятие на хранение документов;</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совершение морских протестов;</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обеспечение доказательств;</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r w:rsidRPr="002671E5">
        <w:rPr>
          <w:rFonts w:ascii="Garamond" w:hAnsi="Garamond" w:cs="Times New Roman"/>
          <w:bCs/>
          <w:sz w:val="24"/>
          <w:szCs w:val="24"/>
        </w:rPr>
        <w:t>выдача свидетельств о праве на наследство и принятие мер к охране наследственного имущества;</w:t>
      </w:r>
    </w:p>
    <w:p w:rsidR="00970FA9" w:rsidRPr="002671E5" w:rsidRDefault="00970FA9" w:rsidP="002671E5">
      <w:pPr>
        <w:pStyle w:val="a7"/>
        <w:widowControl w:val="0"/>
        <w:numPr>
          <w:ilvl w:val="0"/>
          <w:numId w:val="1"/>
        </w:numPr>
        <w:shd w:val="clear" w:color="auto" w:fill="FFFFFF"/>
        <w:tabs>
          <w:tab w:val="left" w:pos="426"/>
          <w:tab w:val="left" w:pos="1134"/>
        </w:tabs>
        <w:autoSpaceDE w:val="0"/>
        <w:autoSpaceDN w:val="0"/>
        <w:adjustRightInd w:val="0"/>
        <w:spacing w:after="0" w:line="240" w:lineRule="auto"/>
        <w:jc w:val="both"/>
        <w:rPr>
          <w:rFonts w:ascii="Garamond" w:hAnsi="Garamond" w:cs="Times New Roman"/>
          <w:bCs/>
          <w:sz w:val="24"/>
          <w:szCs w:val="24"/>
        </w:rPr>
      </w:pPr>
      <w:bookmarkStart w:id="0" w:name="_GoBack"/>
      <w:bookmarkEnd w:id="0"/>
      <w:r w:rsidRPr="002671E5">
        <w:rPr>
          <w:rFonts w:ascii="Garamond" w:hAnsi="Garamond" w:cs="Times New Roman"/>
          <w:bCs/>
          <w:sz w:val="24"/>
          <w:szCs w:val="24"/>
        </w:rPr>
        <w:t>другие нотариальные действия, предусмотренные законодательством Российской Федерации.</w:t>
      </w:r>
    </w:p>
    <w:p w:rsidR="00970FA9" w:rsidRPr="002671E5" w:rsidRDefault="00970FA9" w:rsidP="00970FA9">
      <w:pPr>
        <w:shd w:val="clear" w:color="auto" w:fill="FFFFFF"/>
        <w:spacing w:before="120" w:after="120"/>
        <w:ind w:firstLine="709"/>
        <w:jc w:val="both"/>
        <w:rPr>
          <w:rFonts w:ascii="Garamond" w:hAnsi="Garamond" w:cs="Times New Roman"/>
          <w:b/>
          <w:sz w:val="24"/>
          <w:szCs w:val="24"/>
        </w:rPr>
      </w:pPr>
      <w:r w:rsidRPr="002671E5">
        <w:rPr>
          <w:rFonts w:ascii="Garamond" w:hAnsi="Garamond" w:cs="Times New Roman"/>
          <w:b/>
          <w:sz w:val="24"/>
          <w:szCs w:val="24"/>
        </w:rPr>
        <w:t>4. К п.4.3. Общих условий</w:t>
      </w:r>
    </w:p>
    <w:p w:rsidR="00970FA9" w:rsidRPr="002671E5" w:rsidRDefault="00970FA9" w:rsidP="00970FA9">
      <w:pPr>
        <w:shd w:val="clear" w:color="auto" w:fill="FFFFFF"/>
        <w:spacing w:before="120" w:after="120"/>
        <w:ind w:firstLine="709"/>
        <w:jc w:val="both"/>
        <w:rPr>
          <w:rFonts w:ascii="Garamond" w:hAnsi="Garamond" w:cs="Times New Roman"/>
          <w:sz w:val="24"/>
          <w:szCs w:val="24"/>
        </w:rPr>
      </w:pPr>
      <w:r w:rsidRPr="002671E5">
        <w:rPr>
          <w:rFonts w:ascii="Garamond" w:hAnsi="Garamond" w:cs="Times New Roman"/>
          <w:sz w:val="24"/>
          <w:szCs w:val="24"/>
        </w:rPr>
        <w:t xml:space="preserve">4.1. Договором страхования может быть установлено, что страховым случаем является установленный вступившим в законную силу решением суда или признанный страховщиком факт причинения имущественного вреда гражданину или юридическому лицу действиями </w:t>
      </w:r>
      <w:r w:rsidRPr="002671E5">
        <w:rPr>
          <w:rFonts w:ascii="Garamond" w:hAnsi="Garamond" w:cs="Times New Roman"/>
          <w:sz w:val="24"/>
          <w:szCs w:val="24"/>
        </w:rPr>
        <w:lastRenderedPageBreak/>
        <w:t>(бездействием) Страхователя, в результате совершения нотариального действия, противоречащего законодательству Российской Федерации, либо неправомерного отказа в совершении нотариального действия, подтвержденного постановлением нотариуса, а также разглашения сведений о совершенном нотариальном действии.</w:t>
      </w:r>
    </w:p>
    <w:p w:rsidR="00970FA9" w:rsidRPr="002671E5" w:rsidRDefault="00970FA9" w:rsidP="00970FA9">
      <w:pPr>
        <w:shd w:val="clear" w:color="auto" w:fill="FFFFFF"/>
        <w:spacing w:before="120" w:after="120"/>
        <w:ind w:firstLine="709"/>
        <w:jc w:val="both"/>
        <w:rPr>
          <w:rFonts w:ascii="Garamond" w:hAnsi="Garamond" w:cs="Times New Roman"/>
          <w:sz w:val="24"/>
          <w:szCs w:val="24"/>
        </w:rPr>
      </w:pPr>
      <w:r w:rsidRPr="002671E5">
        <w:rPr>
          <w:rFonts w:ascii="Garamond" w:hAnsi="Garamond" w:cs="Times New Roman"/>
          <w:sz w:val="24"/>
          <w:szCs w:val="24"/>
        </w:rPr>
        <w:t>4.2. Страховой случай считается наступившим при выполнении условий, указанных в п.4.3. Общих условий с учетом следующих положений:</w:t>
      </w:r>
    </w:p>
    <w:p w:rsidR="00970FA9" w:rsidRPr="002671E5" w:rsidRDefault="00970FA9" w:rsidP="00970FA9">
      <w:pPr>
        <w:ind w:firstLine="851"/>
        <w:jc w:val="both"/>
        <w:rPr>
          <w:rFonts w:ascii="Garamond" w:hAnsi="Garamond" w:cs="Times New Roman"/>
          <w:sz w:val="24"/>
          <w:szCs w:val="24"/>
        </w:rPr>
      </w:pPr>
      <w:r w:rsidRPr="002671E5">
        <w:rPr>
          <w:rFonts w:ascii="Garamond" w:hAnsi="Garamond" w:cs="Times New Roman"/>
          <w:sz w:val="24"/>
          <w:szCs w:val="24"/>
        </w:rPr>
        <w:t>4.2.1. Факт причинения имущественного вреда, который впоследствии привел к установлению обязанности Страхователя по возмещению причиненного имущественного вреда Третьим лицам, может быть установлен как в течение Периода страхования, так и после его окончания.</w:t>
      </w:r>
    </w:p>
    <w:p w:rsidR="00970FA9" w:rsidRPr="002671E5" w:rsidRDefault="00970FA9" w:rsidP="00970FA9">
      <w:pPr>
        <w:shd w:val="clear" w:color="auto" w:fill="FFFFFF"/>
        <w:spacing w:after="120"/>
        <w:ind w:firstLine="851"/>
        <w:jc w:val="both"/>
        <w:rPr>
          <w:rFonts w:ascii="Garamond" w:hAnsi="Garamond" w:cs="Times New Roman"/>
          <w:sz w:val="24"/>
          <w:szCs w:val="24"/>
        </w:rPr>
      </w:pPr>
      <w:r w:rsidRPr="002671E5">
        <w:rPr>
          <w:rFonts w:ascii="Garamond" w:hAnsi="Garamond" w:cs="Times New Roman"/>
          <w:sz w:val="24"/>
          <w:szCs w:val="24"/>
        </w:rPr>
        <w:t>4.2.2. Причинение вреда произошло в течение периода страхования, если иное не предусмотрено договором страхования.</w:t>
      </w:r>
    </w:p>
    <w:p w:rsidR="00970FA9" w:rsidRPr="002671E5" w:rsidRDefault="00970FA9" w:rsidP="00970FA9">
      <w:pPr>
        <w:ind w:firstLine="851"/>
        <w:jc w:val="both"/>
        <w:rPr>
          <w:rFonts w:ascii="Garamond" w:hAnsi="Garamond" w:cs="Times New Roman"/>
          <w:sz w:val="24"/>
          <w:szCs w:val="24"/>
        </w:rPr>
      </w:pPr>
      <w:r w:rsidRPr="002671E5">
        <w:rPr>
          <w:rFonts w:ascii="Garamond" w:hAnsi="Garamond" w:cs="Times New Roman"/>
          <w:sz w:val="24"/>
          <w:szCs w:val="24"/>
        </w:rPr>
        <w:t>Если иное не предусмотрено договором страхования, датой причинения имущественного вреда Третьим лицам признается дата предъявления к Страхователю Третьими лицами имущественной претензии о возмещении такого вреда, т.е. дата, когда Страхователю впервые стало известно о том, что его действия (бездействие) привели к причинению имущественного вреда Третьим лицам.</w:t>
      </w:r>
    </w:p>
    <w:p w:rsidR="00970FA9" w:rsidRPr="002671E5" w:rsidRDefault="00970FA9" w:rsidP="00970FA9">
      <w:pPr>
        <w:shd w:val="clear" w:color="auto" w:fill="FFFFFF"/>
        <w:spacing w:after="120"/>
        <w:ind w:firstLine="709"/>
        <w:jc w:val="both"/>
        <w:rPr>
          <w:rFonts w:ascii="Garamond" w:hAnsi="Garamond" w:cs="Times New Roman"/>
          <w:bCs/>
          <w:sz w:val="24"/>
          <w:szCs w:val="24"/>
        </w:rPr>
      </w:pPr>
      <w:r w:rsidRPr="002671E5">
        <w:rPr>
          <w:rFonts w:ascii="Garamond" w:hAnsi="Garamond" w:cs="Times New Roman"/>
          <w:bCs/>
          <w:sz w:val="24"/>
          <w:szCs w:val="24"/>
        </w:rPr>
        <w:t>4.3. Согласно настоящим Дополнительным условиям, если иное не установлено договором страхования, к действиям (бездействию) Страхователя, приведшим к причинению имущественного вреда Третьим лицам, относятся:</w:t>
      </w:r>
    </w:p>
    <w:p w:rsidR="00970FA9" w:rsidRPr="002671E5" w:rsidRDefault="00970FA9" w:rsidP="00970FA9">
      <w:pPr>
        <w:shd w:val="clear" w:color="auto" w:fill="FFFFFF"/>
        <w:spacing w:after="120"/>
        <w:ind w:firstLine="851"/>
        <w:jc w:val="both"/>
        <w:rPr>
          <w:rFonts w:ascii="Garamond" w:hAnsi="Garamond" w:cs="Times New Roman"/>
          <w:bCs/>
          <w:sz w:val="24"/>
          <w:szCs w:val="24"/>
        </w:rPr>
      </w:pPr>
      <w:r w:rsidRPr="002671E5">
        <w:rPr>
          <w:rFonts w:ascii="Garamond" w:hAnsi="Garamond" w:cs="Times New Roman"/>
          <w:bCs/>
          <w:sz w:val="24"/>
          <w:szCs w:val="24"/>
        </w:rPr>
        <w:t>4.3.1. Совершение нотариального действия, противоречащего законодательству Российской Федерации.</w:t>
      </w:r>
    </w:p>
    <w:p w:rsidR="00970FA9" w:rsidRPr="002671E5" w:rsidRDefault="00970FA9" w:rsidP="00970FA9">
      <w:pPr>
        <w:shd w:val="clear" w:color="auto" w:fill="FFFFFF"/>
        <w:spacing w:after="120"/>
        <w:ind w:firstLine="851"/>
        <w:jc w:val="both"/>
        <w:rPr>
          <w:rFonts w:ascii="Garamond" w:hAnsi="Garamond" w:cs="Times New Roman"/>
          <w:bCs/>
          <w:sz w:val="24"/>
          <w:szCs w:val="24"/>
        </w:rPr>
      </w:pPr>
      <w:r w:rsidRPr="002671E5">
        <w:rPr>
          <w:rFonts w:ascii="Garamond" w:hAnsi="Garamond" w:cs="Times New Roman"/>
          <w:bCs/>
          <w:sz w:val="24"/>
          <w:szCs w:val="24"/>
        </w:rPr>
        <w:t>4.3.2. Неправомерный отказ в совершении нотариального действия, подтвержденного постановлением Страхователя.</w:t>
      </w:r>
    </w:p>
    <w:p w:rsidR="00970FA9" w:rsidRPr="002671E5" w:rsidRDefault="00970FA9" w:rsidP="00970FA9">
      <w:pPr>
        <w:shd w:val="clear" w:color="auto" w:fill="FFFFFF"/>
        <w:spacing w:after="120"/>
        <w:ind w:firstLine="851"/>
        <w:jc w:val="both"/>
        <w:rPr>
          <w:rFonts w:ascii="Garamond" w:hAnsi="Garamond" w:cs="Times New Roman"/>
          <w:bCs/>
          <w:sz w:val="24"/>
          <w:szCs w:val="24"/>
        </w:rPr>
      </w:pPr>
      <w:r w:rsidRPr="002671E5">
        <w:rPr>
          <w:rFonts w:ascii="Garamond" w:hAnsi="Garamond" w:cs="Times New Roman"/>
          <w:bCs/>
          <w:sz w:val="24"/>
          <w:szCs w:val="24"/>
        </w:rPr>
        <w:t>4.3.3. Разглашение сведений о совершенном нотариальном действии.</w:t>
      </w:r>
    </w:p>
    <w:p w:rsidR="00970FA9" w:rsidRPr="002671E5" w:rsidRDefault="00970FA9" w:rsidP="00970FA9">
      <w:pPr>
        <w:shd w:val="clear" w:color="auto" w:fill="FFFFFF"/>
        <w:spacing w:before="120" w:after="120"/>
        <w:ind w:firstLine="709"/>
        <w:jc w:val="both"/>
        <w:rPr>
          <w:rFonts w:ascii="Garamond" w:hAnsi="Garamond" w:cs="Times New Roman"/>
          <w:b/>
          <w:bCs/>
          <w:sz w:val="24"/>
          <w:szCs w:val="24"/>
        </w:rPr>
      </w:pPr>
      <w:r w:rsidRPr="002671E5">
        <w:rPr>
          <w:rFonts w:ascii="Garamond" w:hAnsi="Garamond" w:cs="Times New Roman"/>
          <w:b/>
          <w:bCs/>
          <w:sz w:val="24"/>
          <w:szCs w:val="24"/>
        </w:rPr>
        <w:t>5. К п. 4.8. Общих условий</w:t>
      </w:r>
    </w:p>
    <w:p w:rsidR="00970FA9" w:rsidRPr="002671E5" w:rsidRDefault="00970FA9" w:rsidP="00970FA9">
      <w:pPr>
        <w:shd w:val="clear" w:color="auto" w:fill="FFFFFF"/>
        <w:spacing w:before="120" w:after="120"/>
        <w:ind w:firstLine="709"/>
        <w:jc w:val="both"/>
        <w:rPr>
          <w:rFonts w:ascii="Garamond" w:hAnsi="Garamond" w:cs="Times New Roman"/>
          <w:bCs/>
          <w:sz w:val="24"/>
          <w:szCs w:val="24"/>
        </w:rPr>
      </w:pPr>
      <w:r w:rsidRPr="002671E5">
        <w:rPr>
          <w:rFonts w:ascii="Garamond" w:hAnsi="Garamond" w:cs="Times New Roman"/>
          <w:bCs/>
          <w:sz w:val="24"/>
          <w:szCs w:val="24"/>
        </w:rPr>
        <w:t>5.1. Страховое покрытие, если иное не установлено договором страхования, по настоящим Дополнительным условиям также распространяется на имущественный вред, причиненный непреднамеренными действиями (бездействием) лицом, замещающим временно отсутствующего Страхователя, ответственность за действия которого несет Страхователь.</w:t>
      </w:r>
    </w:p>
    <w:p w:rsidR="00970FA9" w:rsidRPr="002671E5" w:rsidRDefault="00970FA9" w:rsidP="00970FA9">
      <w:pPr>
        <w:shd w:val="clear" w:color="auto" w:fill="FFFFFF"/>
        <w:spacing w:before="120" w:after="120"/>
        <w:ind w:firstLine="709"/>
        <w:jc w:val="both"/>
        <w:rPr>
          <w:rFonts w:ascii="Garamond" w:hAnsi="Garamond" w:cs="Times New Roman"/>
          <w:b/>
          <w:bCs/>
          <w:sz w:val="24"/>
          <w:szCs w:val="24"/>
        </w:rPr>
      </w:pPr>
      <w:r w:rsidRPr="002671E5">
        <w:rPr>
          <w:rFonts w:ascii="Garamond" w:hAnsi="Garamond" w:cs="Times New Roman"/>
          <w:b/>
          <w:bCs/>
          <w:sz w:val="24"/>
          <w:szCs w:val="24"/>
        </w:rPr>
        <w:t>6. К п. 5.3. Общих условий</w:t>
      </w:r>
    </w:p>
    <w:p w:rsidR="00970FA9" w:rsidRPr="002671E5" w:rsidRDefault="00970FA9" w:rsidP="00970FA9">
      <w:pPr>
        <w:shd w:val="clear" w:color="auto" w:fill="FFFFFF"/>
        <w:spacing w:before="120" w:after="120"/>
        <w:ind w:firstLine="709"/>
        <w:jc w:val="both"/>
        <w:rPr>
          <w:rFonts w:ascii="Garamond" w:hAnsi="Garamond" w:cs="Times New Roman"/>
          <w:bCs/>
          <w:sz w:val="24"/>
          <w:szCs w:val="24"/>
        </w:rPr>
      </w:pPr>
      <w:r w:rsidRPr="002671E5">
        <w:rPr>
          <w:rFonts w:ascii="Garamond" w:hAnsi="Garamond" w:cs="Times New Roman"/>
          <w:bCs/>
          <w:sz w:val="24"/>
          <w:szCs w:val="24"/>
        </w:rPr>
        <w:t>6.1. Не признаются страховыми случаями, если иное не установлено договором страхования, события, возникшие в результате:</w:t>
      </w:r>
    </w:p>
    <w:p w:rsidR="00970FA9" w:rsidRPr="002671E5" w:rsidRDefault="00970FA9" w:rsidP="00970FA9">
      <w:pPr>
        <w:shd w:val="clear" w:color="auto" w:fill="FFFFFF"/>
        <w:spacing w:after="120"/>
        <w:ind w:firstLine="851"/>
        <w:jc w:val="both"/>
        <w:rPr>
          <w:rFonts w:ascii="Garamond" w:hAnsi="Garamond" w:cs="Times New Roman"/>
          <w:bCs/>
          <w:sz w:val="24"/>
          <w:szCs w:val="24"/>
        </w:rPr>
      </w:pPr>
      <w:r w:rsidRPr="002671E5">
        <w:rPr>
          <w:rFonts w:ascii="Garamond" w:hAnsi="Garamond" w:cs="Times New Roman"/>
          <w:bCs/>
          <w:sz w:val="24"/>
          <w:szCs w:val="24"/>
        </w:rPr>
        <w:t>6.1.1. Совершения Страхователем нотариальных действий на свое имя и от своего имени, на имя и от имени своих супругов, их и своих родственников (родителей, детей, внуков), а также других действий, на совершение которых Страхователь не уполномочен в соответствии с законодательством Российской Федерации.</w:t>
      </w:r>
    </w:p>
    <w:p w:rsidR="00970FA9" w:rsidRPr="002671E5" w:rsidRDefault="00970FA9" w:rsidP="00970FA9">
      <w:pPr>
        <w:shd w:val="clear" w:color="auto" w:fill="FFFFFF"/>
        <w:spacing w:after="120"/>
        <w:ind w:firstLine="851"/>
        <w:jc w:val="both"/>
        <w:rPr>
          <w:rFonts w:ascii="Garamond" w:hAnsi="Garamond" w:cs="Times New Roman"/>
          <w:bCs/>
          <w:sz w:val="24"/>
          <w:szCs w:val="24"/>
        </w:rPr>
      </w:pPr>
      <w:r w:rsidRPr="002671E5">
        <w:rPr>
          <w:rFonts w:ascii="Garamond" w:hAnsi="Garamond" w:cs="Times New Roman"/>
          <w:bCs/>
          <w:sz w:val="24"/>
          <w:szCs w:val="24"/>
        </w:rPr>
        <w:t>6.1.2. Совершения нотариальных действий после того, как Страхователь сложил с себя полномочия или был освобожден от полномочий на основании решения суда о лишении права нотариальной деятельности.</w:t>
      </w:r>
    </w:p>
    <w:p w:rsidR="00970FA9" w:rsidRPr="002671E5" w:rsidRDefault="00970FA9" w:rsidP="00970FA9">
      <w:pPr>
        <w:shd w:val="clear" w:color="auto" w:fill="FFFFFF"/>
        <w:spacing w:after="120"/>
        <w:ind w:firstLine="851"/>
        <w:jc w:val="both"/>
        <w:rPr>
          <w:rFonts w:ascii="Garamond" w:hAnsi="Garamond" w:cs="Times New Roman"/>
          <w:bCs/>
          <w:sz w:val="24"/>
          <w:szCs w:val="24"/>
        </w:rPr>
      </w:pPr>
      <w:r w:rsidRPr="002671E5">
        <w:rPr>
          <w:rFonts w:ascii="Garamond" w:hAnsi="Garamond" w:cs="Times New Roman"/>
          <w:bCs/>
          <w:sz w:val="24"/>
          <w:szCs w:val="24"/>
        </w:rPr>
        <w:t>6.1.3. Совершения Страхователем своих должностных обязанностей в период их исполнения лицом, временно его замещающим.</w:t>
      </w:r>
    </w:p>
    <w:p w:rsidR="00970FA9" w:rsidRPr="002671E5" w:rsidRDefault="00970FA9" w:rsidP="00970FA9">
      <w:pPr>
        <w:shd w:val="clear" w:color="auto" w:fill="FFFFFF"/>
        <w:spacing w:before="120" w:after="120"/>
        <w:ind w:firstLine="851"/>
        <w:jc w:val="both"/>
        <w:rPr>
          <w:rFonts w:ascii="Garamond" w:hAnsi="Garamond" w:cs="Times New Roman"/>
          <w:bCs/>
          <w:sz w:val="24"/>
          <w:szCs w:val="24"/>
        </w:rPr>
      </w:pPr>
      <w:r w:rsidRPr="002671E5">
        <w:rPr>
          <w:rFonts w:ascii="Garamond" w:hAnsi="Garamond" w:cs="Times New Roman"/>
          <w:bCs/>
          <w:sz w:val="24"/>
          <w:szCs w:val="24"/>
        </w:rPr>
        <w:t>6.1.4. Иных случаев, предусмотренных Общими условиями.</w:t>
      </w:r>
    </w:p>
    <w:p w:rsidR="007C0634" w:rsidRPr="002671E5" w:rsidRDefault="007C0634">
      <w:pPr>
        <w:rPr>
          <w:rFonts w:ascii="Garamond" w:hAnsi="Garamond"/>
        </w:rPr>
      </w:pPr>
    </w:p>
    <w:sectPr w:rsidR="007C0634" w:rsidRPr="002671E5">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E86" w:rsidRDefault="002E7E86" w:rsidP="00E359D0">
      <w:r>
        <w:separator/>
      </w:r>
    </w:p>
  </w:endnote>
  <w:endnote w:type="continuationSeparator" w:id="0">
    <w:p w:rsidR="002E7E86" w:rsidRDefault="002E7E86" w:rsidP="00E3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BC6" w:rsidRPr="00BC3BC6" w:rsidRDefault="00BC3BC6" w:rsidP="00BC3BC6">
    <w:pPr>
      <w:pStyle w:val="a5"/>
      <w:jc w:val="right"/>
      <w:rPr>
        <w:rFonts w:ascii="Garamond" w:hAnsi="Garamond"/>
      </w:rPr>
    </w:pPr>
    <w:r w:rsidRPr="00BC3BC6">
      <w:rPr>
        <w:rFonts w:ascii="Garamond" w:hAnsi="Garamond"/>
      </w:rPr>
      <w:fldChar w:fldCharType="begin"/>
    </w:r>
    <w:r w:rsidRPr="00BC3BC6">
      <w:rPr>
        <w:rFonts w:ascii="Garamond" w:hAnsi="Garamond"/>
      </w:rPr>
      <w:instrText>PAGE   \* MERGEFORMAT</w:instrText>
    </w:r>
    <w:r w:rsidRPr="00BC3BC6">
      <w:rPr>
        <w:rFonts w:ascii="Garamond" w:hAnsi="Garamond"/>
      </w:rPr>
      <w:fldChar w:fldCharType="separate"/>
    </w:r>
    <w:r w:rsidRPr="00BC3BC6">
      <w:rPr>
        <w:rFonts w:ascii="Garamond" w:hAnsi="Garamond"/>
      </w:rPr>
      <w:t>1</w:t>
    </w:r>
    <w:r w:rsidRPr="00BC3BC6">
      <w:rP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E86" w:rsidRDefault="002E7E86" w:rsidP="00E359D0">
      <w:r>
        <w:separator/>
      </w:r>
    </w:p>
  </w:footnote>
  <w:footnote w:type="continuationSeparator" w:id="0">
    <w:p w:rsidR="002E7E86" w:rsidRDefault="002E7E86" w:rsidP="00E3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1E5" w:rsidRPr="008F53A3" w:rsidRDefault="002671E5" w:rsidP="002671E5">
    <w:pPr>
      <w:pStyle w:val="a3"/>
      <w:pBdr>
        <w:bottom w:val="single" w:sz="4" w:space="1" w:color="auto"/>
      </w:pBdr>
      <w:ind w:hanging="567"/>
      <w:rPr>
        <w:rFonts w:ascii="Garamond" w:hAnsi="Garamond"/>
        <w:b/>
        <w:i/>
      </w:rPr>
    </w:pPr>
    <w:r w:rsidRPr="00507965">
      <w:rPr>
        <w:rFonts w:ascii="Garamond" w:hAnsi="Garamond"/>
        <w:b/>
        <w:i/>
      </w:rPr>
      <w:t xml:space="preserve">Дополнительные условия страхования профессиональной ответственности </w:t>
    </w:r>
    <w:r>
      <w:rPr>
        <w:rFonts w:ascii="Garamond" w:hAnsi="Garamond"/>
        <w:b/>
        <w:i/>
      </w:rPr>
      <w:t>нотариусов</w:t>
    </w:r>
    <w:r w:rsidRPr="00325F71">
      <w:rPr>
        <w:rFonts w:ascii="Garamond" w:hAnsi="Garamond"/>
        <w:b/>
        <w:i/>
      </w:rPr>
      <w:t xml:space="preserve"> </w:t>
    </w:r>
    <w:r w:rsidRPr="008F53A3">
      <w:rPr>
        <w:rFonts w:ascii="Garamond" w:hAnsi="Garamond"/>
        <w:b/>
        <w:i/>
      </w:rPr>
      <w:t>СПАО «Ингосстрах»</w:t>
    </w:r>
  </w:p>
  <w:p w:rsidR="002671E5" w:rsidRPr="008F53A3" w:rsidRDefault="002671E5" w:rsidP="002671E5">
    <w:pPr>
      <w:pStyle w:val="a3"/>
      <w:rPr>
        <w:rFonts w:ascii="Garamond" w:hAnsi="Garamond"/>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40C"/>
    <w:multiLevelType w:val="hybridMultilevel"/>
    <w:tmpl w:val="E3CA58B4"/>
    <w:lvl w:ilvl="0" w:tplc="88AE19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A9"/>
    <w:rsid w:val="00153D05"/>
    <w:rsid w:val="002671E5"/>
    <w:rsid w:val="002E7E86"/>
    <w:rsid w:val="007C0634"/>
    <w:rsid w:val="00970FA9"/>
    <w:rsid w:val="00B75646"/>
    <w:rsid w:val="00BC3BC6"/>
    <w:rsid w:val="00E359D0"/>
    <w:rsid w:val="00F0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DE461"/>
  <w15:chartTrackingRefBased/>
  <w15:docId w15:val="{45B0624E-B47E-4709-9D17-E5455FA1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0FA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1E5"/>
    <w:pPr>
      <w:tabs>
        <w:tab w:val="center" w:pos="4677"/>
        <w:tab w:val="right" w:pos="9355"/>
      </w:tabs>
    </w:pPr>
  </w:style>
  <w:style w:type="character" w:customStyle="1" w:styleId="a4">
    <w:name w:val="Верхний колонтитул Знак"/>
    <w:basedOn w:val="a0"/>
    <w:link w:val="a3"/>
    <w:uiPriority w:val="99"/>
    <w:rsid w:val="002671E5"/>
    <w:rPr>
      <w:rFonts w:ascii="Arial" w:eastAsia="Times New Roman" w:hAnsi="Arial" w:cs="Arial"/>
      <w:sz w:val="20"/>
      <w:szCs w:val="20"/>
      <w:lang w:eastAsia="ru-RU"/>
    </w:rPr>
  </w:style>
  <w:style w:type="paragraph" w:styleId="a5">
    <w:name w:val="footer"/>
    <w:basedOn w:val="a"/>
    <w:link w:val="a6"/>
    <w:uiPriority w:val="99"/>
    <w:unhideWhenUsed/>
    <w:rsid w:val="002671E5"/>
    <w:pPr>
      <w:tabs>
        <w:tab w:val="center" w:pos="4677"/>
        <w:tab w:val="right" w:pos="9355"/>
      </w:tabs>
    </w:pPr>
  </w:style>
  <w:style w:type="character" w:customStyle="1" w:styleId="a6">
    <w:name w:val="Нижний колонтитул Знак"/>
    <w:basedOn w:val="a0"/>
    <w:link w:val="a5"/>
    <w:uiPriority w:val="99"/>
    <w:rsid w:val="002671E5"/>
    <w:rPr>
      <w:rFonts w:ascii="Arial" w:eastAsia="Times New Roman" w:hAnsi="Arial" w:cs="Arial"/>
      <w:sz w:val="20"/>
      <w:szCs w:val="20"/>
      <w:lang w:eastAsia="ru-RU"/>
    </w:rPr>
  </w:style>
  <w:style w:type="paragraph" w:styleId="a7">
    <w:name w:val="List Paragraph"/>
    <w:basedOn w:val="a"/>
    <w:uiPriority w:val="34"/>
    <w:qFormat/>
    <w:rsid w:val="002671E5"/>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Архангельский Сергей Юрьевич (ДКБ)</dc:creator>
  <cp:keywords/>
  <dc:description/>
  <cp:lastModifiedBy>Архангельский Сергей Юрьевич (ДКБ)</cp:lastModifiedBy>
  <cp:revision>3</cp:revision>
  <dcterms:created xsi:type="dcterms:W3CDTF">2025-01-31T09:03:00Z</dcterms:created>
  <dcterms:modified xsi:type="dcterms:W3CDTF">2025-01-31T10:11:00Z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CLASSIFIER-LABEL0">
    <vt:lpwstr>7Jl/QBvqGLObLtwhdb4Lkx+skuwYvsRoVCDfMObmp3zVxfeNeXZ4MUSCAPEJlwqtjOnmI9Mqr07vOMhbSDhEHVS/G5wsxfUbHjoq/4mgDgGlGEtUfFx+F9PHDyQdMxkaJS86fm9vHqq0yrfIs/E/0eaRfCLDwA04LpTI7gQyMoebJguozZnMV7vz3op23jTrrvBuh090jW6NIV0d9j5hef2fpWx2CYG6P8sGRfr2NdGol2z6bkQYIJAC8wXuBSS</vt:lpwstr>
  </property>
  <property fmtid="{D5CDD505-2E9C-101B-9397-08002B2CF9AE}" pid="3" name="SI-CLASSIFIER-LABEL1">
    <vt:lpwstr>3b4+6qb7EDxNbRfBCe/Ymfw+TMo8H7rxA1aY5rip9q2k=</vt:lpwstr>
  </property>
</Properties>
</file>